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C554" w14:textId="4FF605BC" w:rsidR="0081198E" w:rsidRDefault="0081198E" w:rsidP="00605B53">
      <w:pPr>
        <w:pStyle w:val="Kop2"/>
      </w:pPr>
      <w:bookmarkStart w:id="0" w:name="_Toc353887172"/>
      <w:bookmarkStart w:id="1" w:name="_Toc354860648"/>
      <w:bookmarkStart w:id="2" w:name="_Toc370468316"/>
      <w:bookmarkStart w:id="3" w:name="_Toc403397613"/>
      <w:bookmarkStart w:id="4" w:name="_Toc417410547"/>
      <w:bookmarkStart w:id="5" w:name="_Toc467674382"/>
      <w:bookmarkStart w:id="6" w:name="_Toc514407781"/>
      <w:bookmarkStart w:id="7" w:name="_Toc60932641"/>
      <w:bookmarkStart w:id="8" w:name="_Toc71125882"/>
      <w:r>
        <w:t>Extract from the NA Guide</w:t>
      </w:r>
    </w:p>
    <w:p w14:paraId="2C46D45D" w14:textId="77777777" w:rsidR="0081198E" w:rsidRPr="0081198E" w:rsidRDefault="0081198E" w:rsidP="0081198E"/>
    <w:p w14:paraId="0C39CBA5" w14:textId="420BECD7" w:rsidR="00605B53" w:rsidRPr="00605B53" w:rsidRDefault="00605B53" w:rsidP="00605B53">
      <w:pPr>
        <w:pStyle w:val="Kop2"/>
      </w:pPr>
      <w:r w:rsidRPr="00605B53">
        <w:t>Training and Cooperation</w:t>
      </w:r>
      <w:bookmarkEnd w:id="0"/>
      <w:bookmarkEnd w:id="1"/>
      <w:r w:rsidRPr="00605B53">
        <w:t xml:space="preserve"> Activities </w:t>
      </w:r>
      <w:bookmarkEnd w:id="2"/>
      <w:bookmarkEnd w:id="3"/>
      <w:bookmarkEnd w:id="4"/>
      <w:bookmarkEnd w:id="5"/>
      <w:bookmarkEnd w:id="6"/>
      <w:r w:rsidRPr="00605B53">
        <w:t>under Erasmus+ (TCA)/ Networking Activities under the European Solidarity Corps (NET)</w:t>
      </w:r>
      <w:bookmarkEnd w:id="7"/>
      <w:bookmarkEnd w:id="8"/>
    </w:p>
    <w:p w14:paraId="1DD9400D" w14:textId="77777777" w:rsidR="00605B53" w:rsidRDefault="00605B53" w:rsidP="00605B53">
      <w:pPr>
        <w:pStyle w:val="Kop3"/>
        <w:rPr>
          <w:color w:val="2F5496" w:themeColor="accent5" w:themeShade="BF"/>
        </w:rPr>
      </w:pPr>
      <w:bookmarkStart w:id="9" w:name="_Toc370468317"/>
      <w:bookmarkStart w:id="10" w:name="_Toc403397614"/>
      <w:bookmarkStart w:id="11" w:name="_Toc417410548"/>
      <w:bookmarkStart w:id="12" w:name="_Toc467674383"/>
      <w:bookmarkStart w:id="13" w:name="_Toc514407782"/>
      <w:bookmarkStart w:id="14" w:name="_Toc60932642"/>
      <w:bookmarkStart w:id="15" w:name="_Toc71125883"/>
    </w:p>
    <w:p w14:paraId="20461FD5" w14:textId="2574B833" w:rsidR="00605B53" w:rsidRDefault="00605B53" w:rsidP="00605B53">
      <w:pPr>
        <w:pStyle w:val="Kop3"/>
        <w:rPr>
          <w:color w:val="2F5496" w:themeColor="accent5" w:themeShade="BF"/>
        </w:rPr>
      </w:pPr>
      <w:r w:rsidRPr="00605B53">
        <w:rPr>
          <w:color w:val="2F5496" w:themeColor="accent5" w:themeShade="BF"/>
        </w:rPr>
        <w:t>Objectives of TCA and NET</w:t>
      </w:r>
      <w:bookmarkEnd w:id="9"/>
      <w:bookmarkEnd w:id="10"/>
      <w:bookmarkEnd w:id="11"/>
      <w:bookmarkEnd w:id="12"/>
      <w:bookmarkEnd w:id="13"/>
      <w:bookmarkEnd w:id="14"/>
      <w:bookmarkEnd w:id="15"/>
    </w:p>
    <w:p w14:paraId="3D3FEC45" w14:textId="61E78609" w:rsidR="00605B53" w:rsidRPr="009D195F" w:rsidRDefault="00605B53" w:rsidP="00605B53">
      <w:pPr>
        <w:numPr>
          <w:ilvl w:val="0"/>
          <w:numId w:val="4"/>
        </w:numPr>
        <w:ind w:left="357" w:hanging="357"/>
      </w:pPr>
      <w:r w:rsidRPr="009D195F">
        <w:t>The Training and Cooperation Activities (TCA) and Networking activities (NET) are support activities implemented by the NAs aiming to improve the implementation of the programmes in qualitative terms and to make them more strategic by building closer links with relevant elements of policy development.</w:t>
      </w:r>
    </w:p>
    <w:p w14:paraId="5857EE41" w14:textId="77777777" w:rsidR="00605B53" w:rsidRPr="009D195F" w:rsidRDefault="00605B53" w:rsidP="00605B53">
      <w:pPr>
        <w:pStyle w:val="Lijstalinea"/>
        <w:numPr>
          <w:ilvl w:val="0"/>
          <w:numId w:val="4"/>
        </w:numPr>
        <w:ind w:left="357" w:hanging="357"/>
        <w:contextualSpacing w:val="0"/>
      </w:pPr>
      <w:r w:rsidRPr="009D195F">
        <w:t>Specific objectives:</w:t>
      </w:r>
    </w:p>
    <w:p w14:paraId="405C0FA0" w14:textId="77777777" w:rsidR="00605B53" w:rsidRPr="009D195F" w:rsidRDefault="00605B53" w:rsidP="00605B53">
      <w:pPr>
        <w:pStyle w:val="Lijstalinea"/>
        <w:numPr>
          <w:ilvl w:val="0"/>
          <w:numId w:val="6"/>
        </w:numPr>
        <w:ind w:left="924" w:hanging="357"/>
        <w:contextualSpacing w:val="0"/>
      </w:pPr>
      <w:r w:rsidRPr="009D195F">
        <w:t>Support to activities aiming at enhancing links to European policy cooperation in the fields of education, training and youth as well as to activities aiming at influencing national practices in the concerned fields, and vice-versa.</w:t>
      </w:r>
    </w:p>
    <w:p w14:paraId="26D04910" w14:textId="77777777" w:rsidR="00605B53" w:rsidRPr="009D195F" w:rsidRDefault="00605B53" w:rsidP="00605B53">
      <w:pPr>
        <w:pStyle w:val="Lijstalinea"/>
        <w:numPr>
          <w:ilvl w:val="0"/>
          <w:numId w:val="6"/>
        </w:numPr>
        <w:ind w:left="924" w:hanging="357"/>
        <w:contextualSpacing w:val="0"/>
      </w:pPr>
      <w:r w:rsidRPr="009D195F">
        <w:t xml:space="preserve">Support to activities aiming at increasing the quality of programme implementation, notably the participation and accessibility of the programmes, as well as community-building and networking between organisations. </w:t>
      </w:r>
    </w:p>
    <w:p w14:paraId="1F8FBFC9" w14:textId="77777777" w:rsidR="00605B53" w:rsidRPr="009D195F" w:rsidRDefault="00605B53" w:rsidP="00605B53">
      <w:pPr>
        <w:numPr>
          <w:ilvl w:val="0"/>
          <w:numId w:val="4"/>
        </w:numPr>
        <w:ind w:left="340" w:hanging="340"/>
      </w:pPr>
      <w:r w:rsidRPr="009D195F">
        <w:t>When planning and implementing the TCA/NET, the NA has to take into account aims and measures for their implementation formulated in strategic documents, such as the Communication on the European Education Area, the Digital Education Action Plan 2021-2027 and the EU Youth Strategy, as well as the annual European Commission Erasmus+ and European Solidarity Corps Work Programmes.</w:t>
      </w:r>
    </w:p>
    <w:p w14:paraId="3DD1FFF8" w14:textId="7DF2D4D2" w:rsidR="00605B53" w:rsidRDefault="00605B53" w:rsidP="0081198E">
      <w:pPr>
        <w:pStyle w:val="Kop4"/>
        <w:numPr>
          <w:ilvl w:val="0"/>
          <w:numId w:val="0"/>
        </w:numPr>
        <w:rPr>
          <w:color w:val="2F5496" w:themeColor="accent5" w:themeShade="BF"/>
        </w:rPr>
      </w:pPr>
      <w:bookmarkStart w:id="16" w:name="_Toc60932647"/>
      <w:bookmarkStart w:id="17" w:name="_Toc64302819"/>
      <w:bookmarkStart w:id="18" w:name="_Toc71118814"/>
      <w:bookmarkStart w:id="19" w:name="_Toc71122840"/>
      <w:bookmarkStart w:id="20" w:name="_Toc71125887"/>
      <w:r w:rsidRPr="0081198E">
        <w:rPr>
          <w:color w:val="2F5496" w:themeColor="accent5" w:themeShade="BF"/>
        </w:rPr>
        <w:t>Format</w:t>
      </w:r>
      <w:bookmarkEnd w:id="16"/>
      <w:bookmarkEnd w:id="17"/>
      <w:bookmarkEnd w:id="18"/>
      <w:bookmarkEnd w:id="19"/>
      <w:bookmarkEnd w:id="20"/>
    </w:p>
    <w:p w14:paraId="3C55A3B6" w14:textId="77777777" w:rsidR="00605B53" w:rsidRPr="009D195F" w:rsidRDefault="00605B53" w:rsidP="00605B53">
      <w:pPr>
        <w:pStyle w:val="Text3"/>
        <w:numPr>
          <w:ilvl w:val="3"/>
          <w:numId w:val="8"/>
        </w:numPr>
        <w:ind w:left="357" w:hanging="357"/>
      </w:pPr>
      <w:r w:rsidRPr="009D195F">
        <w:t>Both TCA and NET activities can have the format of:</w:t>
      </w:r>
    </w:p>
    <w:p w14:paraId="3C76560F" w14:textId="77777777" w:rsidR="00605B53" w:rsidRPr="009D195F" w:rsidRDefault="00605B53" w:rsidP="00605B53">
      <w:pPr>
        <w:pStyle w:val="Text3"/>
        <w:numPr>
          <w:ilvl w:val="0"/>
          <w:numId w:val="7"/>
        </w:numPr>
        <w:ind w:left="924" w:hanging="357"/>
      </w:pPr>
      <w:r w:rsidRPr="009D195F">
        <w:t>Long-term activities: recurrent or complex activities, which can intervene both supporting the programme or the policy development and are carried out in accordance with paragraph 2;</w:t>
      </w:r>
    </w:p>
    <w:p w14:paraId="22D0483B" w14:textId="77777777" w:rsidR="00605B53" w:rsidRPr="009D195F" w:rsidRDefault="00605B53" w:rsidP="00605B53">
      <w:pPr>
        <w:pStyle w:val="Text3"/>
        <w:numPr>
          <w:ilvl w:val="0"/>
          <w:numId w:val="7"/>
        </w:numPr>
        <w:ind w:left="924" w:hanging="357"/>
      </w:pPr>
      <w:r w:rsidRPr="009D195F">
        <w:t>Single activities: one-off activity without a long-term perspective.</w:t>
      </w:r>
    </w:p>
    <w:p w14:paraId="2B6FBD8D" w14:textId="77777777" w:rsidR="00605B53" w:rsidRPr="009D195F" w:rsidRDefault="00605B53" w:rsidP="00605B53">
      <w:pPr>
        <w:pStyle w:val="Text3"/>
        <w:numPr>
          <w:ilvl w:val="3"/>
          <w:numId w:val="8"/>
        </w:numPr>
        <w:spacing w:after="360"/>
        <w:ind w:left="357" w:hanging="357"/>
      </w:pPr>
      <w:r w:rsidRPr="009D195F">
        <w:t>Long-term activities shall present a strategic framework that can cover several years. They are carried out by several NAs who have agreed to cooperate to develop a series of activities linked to a policy area with the aim to produce an impact on the development of the programme and of the policy area they are tackling. Within the agreed scheme, one NA takes the lead and manages the overall coordination of a long-term activity. The other NAs participating in the scheme can organise, on a rotational basis, specific activities and/or provide a financial contribution to functioning of the long-term activity during the period of duration of the long-term activity.</w:t>
      </w:r>
    </w:p>
    <w:p w14:paraId="57393C51" w14:textId="6B85B109" w:rsidR="00605B53" w:rsidRDefault="00605B53" w:rsidP="0081198E">
      <w:pPr>
        <w:pStyle w:val="Kop4"/>
        <w:numPr>
          <w:ilvl w:val="0"/>
          <w:numId w:val="0"/>
        </w:numPr>
        <w:rPr>
          <w:color w:val="2F5496" w:themeColor="accent5" w:themeShade="BF"/>
        </w:rPr>
      </w:pPr>
      <w:bookmarkStart w:id="21" w:name="_Toc60932652"/>
      <w:bookmarkStart w:id="22" w:name="_Toc64302824"/>
      <w:bookmarkStart w:id="23" w:name="_Toc71118819"/>
      <w:bookmarkStart w:id="24" w:name="_Toc71122845"/>
      <w:bookmarkStart w:id="25" w:name="_Toc71125892"/>
      <w:r w:rsidRPr="009D195F">
        <w:rPr>
          <w:color w:val="2F5496" w:themeColor="accent5" w:themeShade="BF"/>
        </w:rPr>
        <w:lastRenderedPageBreak/>
        <w:t>Planning, change and cancellation of TCA/NET</w:t>
      </w:r>
      <w:bookmarkEnd w:id="21"/>
      <w:bookmarkEnd w:id="22"/>
      <w:bookmarkEnd w:id="23"/>
      <w:bookmarkEnd w:id="24"/>
      <w:bookmarkEnd w:id="25"/>
    </w:p>
    <w:p w14:paraId="2D536094" w14:textId="77777777" w:rsidR="00605B53" w:rsidRPr="009D195F" w:rsidRDefault="00605B53" w:rsidP="00605B53">
      <w:pPr>
        <w:numPr>
          <w:ilvl w:val="0"/>
          <w:numId w:val="9"/>
        </w:numPr>
        <w:ind w:left="340" w:hanging="340"/>
      </w:pPr>
      <w:r w:rsidRPr="009D195F">
        <w:t>The coordinating NA of a long-term activity shall include its planning in particular, details on subjects and themes the long-term activity plans to tackle. The NA shall specify the links with the objectives of the TCA/NET strategy, including any applicable policy objective. Information on organisational functioning of the activity, types and estimated number of single activities planned under a long-term activity and information on monitoring and dissemination of results shall be also included. For policy-related activities the NA should moreover describe how the objectives of the partnership and the NA’s participation will contribute to the policy priorities of the programmes.</w:t>
      </w:r>
    </w:p>
    <w:p w14:paraId="72ACDE76" w14:textId="77777777" w:rsidR="00605B53" w:rsidRPr="009D195F" w:rsidRDefault="00605B53" w:rsidP="00605B53">
      <w:pPr>
        <w:numPr>
          <w:ilvl w:val="0"/>
          <w:numId w:val="9"/>
        </w:numPr>
        <w:ind w:left="340" w:hanging="340"/>
      </w:pPr>
      <w:r w:rsidRPr="009D195F">
        <w:t xml:space="preserve">Long-term complex activities are strategic and will have an impact on the development of the programme and of the policy area they want to tackle. NAs are therefore encouraged to involve and consult all relevant stakeholders in their conception and preparatory phase. The coordinating NA is invited to share the preliminary ideas with other stakeholders (fellow NAs, national authorities and other relevant stakeholders) in order to ensure transparency and a participatory approach, using the relevant EU platforms and stakeholders’ fora. In the Youth field, the EU Youth Strategy stakeholders’ platform already offers a suitable space to present long-term strategic activities. </w:t>
      </w:r>
    </w:p>
    <w:p w14:paraId="6CDF46C1" w14:textId="77777777" w:rsidR="00605B53" w:rsidRPr="009D195F" w:rsidRDefault="00605B53" w:rsidP="00605B53">
      <w:pPr>
        <w:numPr>
          <w:ilvl w:val="0"/>
          <w:numId w:val="9"/>
        </w:numPr>
        <w:ind w:left="340" w:hanging="340"/>
      </w:pPr>
      <w:r w:rsidRPr="009D195F">
        <w:t>B</w:t>
      </w:r>
      <w:r w:rsidRPr="009D195F" w:rsidDel="009C5E16">
        <w:t xml:space="preserve">ecause of </w:t>
      </w:r>
      <w:r w:rsidRPr="009D195F">
        <w:t xml:space="preserve">the </w:t>
      </w:r>
      <w:r w:rsidRPr="009D195F" w:rsidDel="009C5E16">
        <w:t>strategic character</w:t>
      </w:r>
      <w:r w:rsidRPr="009D195F">
        <w:t xml:space="preserve"> of </w:t>
      </w:r>
      <w:r w:rsidRPr="009D195F" w:rsidDel="009C5E16">
        <w:t xml:space="preserve">policy-related </w:t>
      </w:r>
      <w:r w:rsidRPr="009D195F">
        <w:t>l</w:t>
      </w:r>
      <w:r w:rsidRPr="009D195F" w:rsidDel="009C5E16">
        <w:t>ong-</w:t>
      </w:r>
      <w:r w:rsidRPr="009D195F">
        <w:t>t</w:t>
      </w:r>
      <w:r w:rsidRPr="009D195F" w:rsidDel="009C5E16">
        <w:t xml:space="preserve">erm </w:t>
      </w:r>
      <w:r w:rsidRPr="009D195F">
        <w:t>a</w:t>
      </w:r>
      <w:r w:rsidRPr="009D195F" w:rsidDel="009C5E16">
        <w:t xml:space="preserve">ctivities, a prior consultation with the Commission’s relevant service is also required before their submission in the NA’s work programme. </w:t>
      </w:r>
      <w:r w:rsidRPr="009D195F">
        <w:t>Furthermore, their approval can only take place in the context of the NA work programme.</w:t>
      </w:r>
    </w:p>
    <w:p w14:paraId="4F288059" w14:textId="77777777" w:rsidR="006F7B8C" w:rsidRDefault="006F7B8C"/>
    <w:sectPr w:rsidR="006F7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785"/>
    <w:multiLevelType w:val="multilevel"/>
    <w:tmpl w:val="EFA667B8"/>
    <w:lvl w:ilvl="0">
      <w:start w:val="1"/>
      <w:numFmt w:val="decimal"/>
      <w:lvlText w:val="%1"/>
      <w:lvlJc w:val="left"/>
      <w:pPr>
        <w:ind w:left="4117"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1999"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67967F5"/>
    <w:multiLevelType w:val="hybridMultilevel"/>
    <w:tmpl w:val="E95C1DE4"/>
    <w:lvl w:ilvl="0" w:tplc="D9C4AFC2">
      <w:start w:val="12"/>
      <w:numFmt w:val="bullet"/>
      <w:lvlText w:val="-"/>
      <w:lvlJc w:val="left"/>
      <w:pPr>
        <w:tabs>
          <w:tab w:val="num" w:pos="1485"/>
        </w:tabs>
        <w:ind w:left="1485" w:hanging="360"/>
      </w:pPr>
      <w:rPr>
        <w:rFonts w:ascii="Calibri" w:eastAsiaTheme="minorHAnsi" w:hAnsi="Calibri" w:cstheme="minorBidi" w:hint="default"/>
      </w:rPr>
    </w:lvl>
    <w:lvl w:ilvl="1" w:tplc="318C3102">
      <w:start w:val="1"/>
      <w:numFmt w:val="bullet"/>
      <w:lvlText w:val="o"/>
      <w:lvlJc w:val="left"/>
      <w:pPr>
        <w:tabs>
          <w:tab w:val="num" w:pos="2083"/>
        </w:tabs>
        <w:ind w:left="2083" w:hanging="360"/>
      </w:pPr>
      <w:rPr>
        <w:rFonts w:ascii="Courier New" w:hAnsi="Courier New" w:cs="Courier New" w:hint="default"/>
      </w:rPr>
    </w:lvl>
    <w:lvl w:ilvl="2" w:tplc="66F4099E">
      <w:start w:val="1"/>
      <w:numFmt w:val="bullet"/>
      <w:lvlText w:val=""/>
      <w:lvlJc w:val="left"/>
      <w:pPr>
        <w:tabs>
          <w:tab w:val="num" w:pos="2803"/>
        </w:tabs>
        <w:ind w:left="2803" w:hanging="360"/>
      </w:pPr>
      <w:rPr>
        <w:rFonts w:ascii="Wingdings" w:hAnsi="Wingdings" w:hint="default"/>
      </w:rPr>
    </w:lvl>
    <w:lvl w:ilvl="3" w:tplc="4386C5BA" w:tentative="1">
      <w:start w:val="1"/>
      <w:numFmt w:val="bullet"/>
      <w:lvlText w:val=""/>
      <w:lvlJc w:val="left"/>
      <w:pPr>
        <w:tabs>
          <w:tab w:val="num" w:pos="3523"/>
        </w:tabs>
        <w:ind w:left="3523" w:hanging="360"/>
      </w:pPr>
      <w:rPr>
        <w:rFonts w:ascii="Symbol" w:hAnsi="Symbol" w:hint="default"/>
      </w:rPr>
    </w:lvl>
    <w:lvl w:ilvl="4" w:tplc="039AAB4A" w:tentative="1">
      <w:start w:val="1"/>
      <w:numFmt w:val="bullet"/>
      <w:lvlText w:val="o"/>
      <w:lvlJc w:val="left"/>
      <w:pPr>
        <w:tabs>
          <w:tab w:val="num" w:pos="4243"/>
        </w:tabs>
        <w:ind w:left="4243" w:hanging="360"/>
      </w:pPr>
      <w:rPr>
        <w:rFonts w:ascii="Courier New" w:hAnsi="Courier New" w:cs="Courier New" w:hint="default"/>
      </w:rPr>
    </w:lvl>
    <w:lvl w:ilvl="5" w:tplc="E6FCE4A6" w:tentative="1">
      <w:start w:val="1"/>
      <w:numFmt w:val="bullet"/>
      <w:lvlText w:val=""/>
      <w:lvlJc w:val="left"/>
      <w:pPr>
        <w:tabs>
          <w:tab w:val="num" w:pos="4963"/>
        </w:tabs>
        <w:ind w:left="4963" w:hanging="360"/>
      </w:pPr>
      <w:rPr>
        <w:rFonts w:ascii="Wingdings" w:hAnsi="Wingdings" w:hint="default"/>
      </w:rPr>
    </w:lvl>
    <w:lvl w:ilvl="6" w:tplc="6A281F68" w:tentative="1">
      <w:start w:val="1"/>
      <w:numFmt w:val="bullet"/>
      <w:lvlText w:val=""/>
      <w:lvlJc w:val="left"/>
      <w:pPr>
        <w:tabs>
          <w:tab w:val="num" w:pos="5683"/>
        </w:tabs>
        <w:ind w:left="5683" w:hanging="360"/>
      </w:pPr>
      <w:rPr>
        <w:rFonts w:ascii="Symbol" w:hAnsi="Symbol" w:hint="default"/>
      </w:rPr>
    </w:lvl>
    <w:lvl w:ilvl="7" w:tplc="4AC832AE" w:tentative="1">
      <w:start w:val="1"/>
      <w:numFmt w:val="bullet"/>
      <w:lvlText w:val="o"/>
      <w:lvlJc w:val="left"/>
      <w:pPr>
        <w:tabs>
          <w:tab w:val="num" w:pos="6403"/>
        </w:tabs>
        <w:ind w:left="6403" w:hanging="360"/>
      </w:pPr>
      <w:rPr>
        <w:rFonts w:ascii="Courier New" w:hAnsi="Courier New" w:cs="Courier New" w:hint="default"/>
      </w:rPr>
    </w:lvl>
    <w:lvl w:ilvl="8" w:tplc="AE464A8E"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7AC4A41"/>
    <w:multiLevelType w:val="hybridMultilevel"/>
    <w:tmpl w:val="1144A1A6"/>
    <w:lvl w:ilvl="0" w:tplc="C6902806">
      <w:start w:val="1"/>
      <w:numFmt w:val="decimal"/>
      <w:lvlText w:val="%1."/>
      <w:lvlJc w:val="left"/>
      <w:pPr>
        <w:tabs>
          <w:tab w:val="num" w:pos="1560"/>
        </w:tabs>
        <w:ind w:left="1560" w:hanging="360"/>
      </w:pPr>
      <w:rPr>
        <w:rFonts w:hint="default"/>
        <w:i w:val="0"/>
      </w:rPr>
    </w:lvl>
    <w:lvl w:ilvl="1" w:tplc="0809000F">
      <w:start w:val="1"/>
      <w:numFmt w:val="decimal"/>
      <w:lvlText w:val="%2."/>
      <w:lvlJc w:val="left"/>
      <w:pPr>
        <w:ind w:left="1440" w:hanging="360"/>
      </w:pPr>
    </w:lvl>
    <w:lvl w:ilvl="2" w:tplc="0809001B">
      <w:start w:val="1"/>
      <w:numFmt w:val="lowerRoman"/>
      <w:lvlText w:val="%3."/>
      <w:lvlJc w:val="right"/>
      <w:pPr>
        <w:ind w:left="2165" w:hanging="180"/>
      </w:pPr>
    </w:lvl>
    <w:lvl w:ilvl="3" w:tplc="0809000F">
      <w:start w:val="1"/>
      <w:numFmt w:val="decimal"/>
      <w:lvlText w:val="%4."/>
      <w:lvlJc w:val="left"/>
      <w:pPr>
        <w:ind w:left="2880" w:hanging="360"/>
      </w:pPr>
    </w:lvl>
    <w:lvl w:ilvl="4" w:tplc="CD6C3BDA">
      <w:start w:val="1"/>
      <w:numFmt w:val="upperRoman"/>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41F71"/>
    <w:multiLevelType w:val="hybridMultilevel"/>
    <w:tmpl w:val="C91019F2"/>
    <w:lvl w:ilvl="0" w:tplc="C1B84C5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8E0027B"/>
    <w:multiLevelType w:val="hybridMultilevel"/>
    <w:tmpl w:val="53B4B148"/>
    <w:lvl w:ilvl="0" w:tplc="41FAA6C4">
      <w:start w:val="1"/>
      <w:numFmt w:val="decimal"/>
      <w:lvlText w:val="%1."/>
      <w:lvlJc w:val="left"/>
      <w:pPr>
        <w:tabs>
          <w:tab w:val="num" w:pos="1495"/>
        </w:tabs>
        <w:ind w:left="1495"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003CBE"/>
    <w:multiLevelType w:val="multilevel"/>
    <w:tmpl w:val="4E7A3224"/>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996" w:hanging="720"/>
      </w:pPr>
      <w:rPr>
        <w:rFonts w:hint="default"/>
      </w:rPr>
    </w:lvl>
    <w:lvl w:ilvl="3">
      <w:start w:val="1"/>
      <w:numFmt w:val="decimal"/>
      <w:pStyle w:val="Kop4"/>
      <w:lvlText w:val="%1.%2.%3.%4"/>
      <w:lvlJc w:val="left"/>
      <w:pPr>
        <w:tabs>
          <w:tab w:val="num" w:pos="1701"/>
        </w:tabs>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18C702B"/>
    <w:multiLevelType w:val="hybridMultilevel"/>
    <w:tmpl w:val="D3AE4A32"/>
    <w:lvl w:ilvl="0" w:tplc="01521A64">
      <w:start w:val="1"/>
      <w:numFmt w:val="decimal"/>
      <w:lvlText w:val="%1."/>
      <w:lvlJc w:val="left"/>
      <w:pPr>
        <w:tabs>
          <w:tab w:val="num" w:pos="1560"/>
        </w:tabs>
        <w:ind w:left="1560" w:hanging="360"/>
      </w:pPr>
      <w:rPr>
        <w:rFonts w:hint="default"/>
        <w:i w:val="0"/>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6"/>
  </w:num>
  <w:num w:numId="4">
    <w:abstractNumId w:val="7"/>
  </w:num>
  <w:num w:numId="5">
    <w:abstractNumId w:val="0"/>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53"/>
    <w:rsid w:val="00605B53"/>
    <w:rsid w:val="00670A31"/>
    <w:rsid w:val="006F7B8C"/>
    <w:rsid w:val="008119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91B1"/>
  <w15:chartTrackingRefBased/>
  <w15:docId w15:val="{755F5F3C-166E-4276-8FD1-38A91B13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5B53"/>
    <w:pPr>
      <w:spacing w:after="240" w:line="240" w:lineRule="auto"/>
      <w:jc w:val="both"/>
    </w:pPr>
    <w:rPr>
      <w:rFonts w:ascii="Times New Roman" w:eastAsia="Times New Roman" w:hAnsi="Times New Roman" w:cs="Times New Roman"/>
      <w:sz w:val="24"/>
      <w:szCs w:val="20"/>
      <w:lang w:val="en-GB"/>
    </w:rPr>
  </w:style>
  <w:style w:type="paragraph" w:styleId="Kop1">
    <w:name w:val="heading 1"/>
    <w:basedOn w:val="Standaard"/>
    <w:next w:val="Standaard"/>
    <w:link w:val="Kop1Char"/>
    <w:autoRedefine/>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nhideWhenUsed/>
    <w:qFormat/>
    <w:rsid w:val="00605B53"/>
    <w:pPr>
      <w:keepNext/>
      <w:keepLines/>
      <w:spacing w:after="0"/>
      <w:outlineLvl w:val="1"/>
    </w:pPr>
    <w:rPr>
      <w:rFonts w:eastAsiaTheme="majorEastAsia" w:cs="Times New Roman (Koppen CS)"/>
      <w:b/>
      <w:sz w:val="28"/>
      <w:szCs w:val="28"/>
    </w:rPr>
  </w:style>
  <w:style w:type="paragraph" w:styleId="Kop3">
    <w:name w:val="heading 3"/>
    <w:basedOn w:val="Standaard"/>
    <w:next w:val="Standaard"/>
    <w:link w:val="Kop3Char"/>
    <w:autoRedefine/>
    <w:unhideWhenUsed/>
    <w:qFormat/>
    <w:rsid w:val="00605B53"/>
    <w:pPr>
      <w:keepNext/>
      <w:keepLines/>
      <w:spacing w:before="120" w:after="120"/>
      <w:outlineLvl w:val="2"/>
    </w:pPr>
    <w:rPr>
      <w:rFonts w:eastAsiaTheme="majorEastAsia" w:cs="Times New Roman (Koppen CS)"/>
      <w:b/>
      <w:bCs/>
      <w:color w:val="2F5496" w:themeColor="accent5" w:themeShade="BF"/>
      <w:spacing w:val="20"/>
      <w:sz w:val="28"/>
      <w:szCs w:val="28"/>
    </w:rPr>
  </w:style>
  <w:style w:type="paragraph" w:styleId="Kop4">
    <w:name w:val="heading 4"/>
    <w:basedOn w:val="Standaard"/>
    <w:next w:val="Standaard"/>
    <w:link w:val="Kop4Char"/>
    <w:autoRedefine/>
    <w:unhideWhenUsed/>
    <w:qFormat/>
    <w:rsid w:val="0081198E"/>
    <w:pPr>
      <w:keepNext/>
      <w:keepLines/>
      <w:numPr>
        <w:ilvl w:val="3"/>
        <w:numId w:val="3"/>
      </w:numPr>
      <w:tabs>
        <w:tab w:val="clear" w:pos="1701"/>
        <w:tab w:val="num" w:pos="360"/>
        <w:tab w:val="left" w:pos="2268"/>
      </w:tabs>
      <w:spacing w:after="120"/>
      <w:ind w:left="2694" w:hanging="992"/>
      <w:outlineLvl w:val="3"/>
    </w:pPr>
    <w:rPr>
      <w:rFonts w:eastAsiaTheme="majorEastAsia" w:cs="Times New Roman (Koppen CS)"/>
      <w:b/>
      <w:iCs/>
      <w:color w:val="2F5496" w:themeColor="accent5" w:themeShade="BF"/>
      <w:spacing w:val="26"/>
      <w:sz w:val="28"/>
      <w:szCs w:val="28"/>
    </w:rPr>
  </w:style>
  <w:style w:type="paragraph" w:styleId="Kop5">
    <w:name w:val="heading 5"/>
    <w:basedOn w:val="Kop4"/>
    <w:next w:val="Standaard"/>
    <w:link w:val="Kop5Char"/>
    <w:autoRedefine/>
    <w:unhideWhenUsed/>
    <w:qFormat/>
    <w:rsid w:val="00670A31"/>
    <w:pPr>
      <w:spacing w:before="40" w:after="0"/>
      <w:outlineLvl w:val="4"/>
    </w:pPr>
    <w:rPr>
      <w:b w:val="0"/>
      <w:color w:val="2E74B5" w:themeColor="accent1" w:themeShade="BF"/>
      <w:szCs w:val="26"/>
    </w:rPr>
  </w:style>
  <w:style w:type="paragraph" w:styleId="Kop6">
    <w:name w:val="heading 6"/>
    <w:basedOn w:val="Kop5"/>
    <w:next w:val="Standaard"/>
    <w:link w:val="Kop6Char"/>
    <w:autoRedefine/>
    <w:unhideWhenUsed/>
    <w:qFormat/>
    <w:rsid w:val="00670A31"/>
    <w:pPr>
      <w:outlineLvl w:val="5"/>
    </w:pPr>
    <w:rPr>
      <w:i/>
      <w:color w:val="2F5496" w:themeColor="accent5" w:themeShade="BF"/>
    </w:rPr>
  </w:style>
  <w:style w:type="paragraph" w:styleId="Kop7">
    <w:name w:val="heading 7"/>
    <w:basedOn w:val="Kop6"/>
    <w:next w:val="Standaard"/>
    <w:link w:val="Kop7Char"/>
    <w:unhideWhenUsed/>
    <w:qFormat/>
    <w:rsid w:val="00670A31"/>
    <w:pPr>
      <w:outlineLvl w:val="6"/>
    </w:pPr>
    <w:rPr>
      <w:rFonts w:cstheme="majorBidi"/>
      <w:iCs w:val="0"/>
      <w:color w:val="1F4D78" w:themeColor="accent1" w:themeShade="7F"/>
      <w14:textFill>
        <w14:solidFill>
          <w14:schemeClr w14:val="accent1">
            <w14:lumMod w14:val="50000"/>
            <w14:lumMod w14:val="75000"/>
          </w14:schemeClr>
        </w14:solidFill>
      </w14:textFill>
    </w:rPr>
  </w:style>
  <w:style w:type="paragraph" w:styleId="Kop8">
    <w:name w:val="heading 8"/>
    <w:basedOn w:val="Kop7"/>
    <w:next w:val="Standaard"/>
    <w:link w:val="Kop8Char"/>
    <w:autoRedefine/>
    <w:unhideWhenUsed/>
    <w:qFormat/>
    <w:rsid w:val="00670A31"/>
    <w:pPr>
      <w:outlineLvl w:val="7"/>
    </w:pPr>
    <w:rPr>
      <w:color w:val="272727" w:themeColor="text1" w:themeTint="D8"/>
      <w:szCs w:val="21"/>
      <w14:textFill>
        <w14:solidFill>
          <w14:schemeClr w14:val="tx1">
            <w14:lumMod w14:val="85000"/>
            <w14:lumOff w14:val="15000"/>
            <w14:lumMod w14:val="75000"/>
          </w14:schemeClr>
        </w14:solidFill>
      </w14:textFill>
    </w:rPr>
  </w:style>
  <w:style w:type="paragraph" w:styleId="Kop9">
    <w:name w:val="heading 9"/>
    <w:basedOn w:val="Kop8"/>
    <w:next w:val="Standaard"/>
    <w:link w:val="Kop9Char"/>
    <w:autoRedefine/>
    <w:unhideWhenUsed/>
    <w:qFormat/>
    <w:rsid w:val="00670A31"/>
    <w:pPr>
      <w:outlineLvl w:val="8"/>
    </w:pPr>
    <w:rPr>
      <w:iCs/>
      <w:color w:val="BF8F00" w:themeColor="accent4"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after="0"/>
    </w:pPr>
    <w:rPr>
      <w:rFonts w:eastAsiaTheme="majorEastAsia" w:cstheme="majorBidi"/>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after="0"/>
    </w:pPr>
    <w:rPr>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rsid w:val="00605B53"/>
    <w:rPr>
      <w:rFonts w:ascii="Times New Roman" w:eastAsiaTheme="majorEastAsia" w:hAnsi="Times New Roman" w:cs="Times New Roman (Koppen CS)"/>
      <w:b/>
      <w:sz w:val="28"/>
      <w:szCs w:val="28"/>
      <w:lang w:val="en-GB"/>
    </w:rPr>
  </w:style>
  <w:style w:type="character" w:customStyle="1" w:styleId="Kop3Char">
    <w:name w:val="Kop 3 Char"/>
    <w:basedOn w:val="Standaardalinea-lettertype"/>
    <w:link w:val="Kop3"/>
    <w:rsid w:val="00605B53"/>
    <w:rPr>
      <w:rFonts w:ascii="Times New Roman" w:eastAsiaTheme="majorEastAsia" w:hAnsi="Times New Roman" w:cs="Times New Roman (Koppen CS)"/>
      <w:b/>
      <w:bCs/>
      <w:color w:val="2F5496" w:themeColor="accent5" w:themeShade="BF"/>
      <w:spacing w:val="20"/>
      <w:sz w:val="28"/>
      <w:szCs w:val="28"/>
      <w:lang w:val="en-GB"/>
    </w:rPr>
  </w:style>
  <w:style w:type="character" w:customStyle="1" w:styleId="Kop4Char">
    <w:name w:val="Kop 4 Char"/>
    <w:basedOn w:val="Standaardalinea-lettertype"/>
    <w:link w:val="Kop4"/>
    <w:rsid w:val="0081198E"/>
    <w:rPr>
      <w:rFonts w:ascii="Times New Roman" w:eastAsiaTheme="majorEastAsia" w:hAnsi="Times New Roman" w:cs="Times New Roman (Koppen CS)"/>
      <w:b/>
      <w:iCs/>
      <w:color w:val="2F5496" w:themeColor="accent5" w:themeShade="BF"/>
      <w:spacing w:val="26"/>
      <w:sz w:val="28"/>
      <w:szCs w:val="28"/>
      <w:lang w:val="en-GB"/>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aliases w:val="Nad,Odstavec_muj,Fiche List Paragraph,Task Body,Viñetas (Inicio Parrafo),3 Txt tabla,Zerrenda-paragrafoa,Lista multicolor - Énfasis 11,Paragrafo elenco,Dot pt,No Spacing1,List Paragraph Char Char Char,Indicator Text,Bullet 1,Bullet,L,3"/>
    <w:basedOn w:val="Standaard"/>
    <w:link w:val="LijstalineaChar"/>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szCs w:val="22"/>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 w:type="character" w:customStyle="1" w:styleId="LijstalineaChar">
    <w:name w:val="Lijstalinea Char"/>
    <w:aliases w:val="Nad Char,Odstavec_muj Char,Fiche List Paragraph Char,Task Body Char,Viñetas (Inicio Parrafo) Char,3 Txt tabla Char,Zerrenda-paragrafoa Char,Lista multicolor - Énfasis 11 Char,Paragrafo elenco Char,Dot pt Char,No Spacing1 Char,L Char"/>
    <w:link w:val="Lijstalinea"/>
    <w:uiPriority w:val="34"/>
    <w:qFormat/>
    <w:rsid w:val="00605B53"/>
    <w:rPr>
      <w:rFonts w:ascii="Verdana" w:hAnsi="Verdana"/>
      <w:color w:val="000000" w:themeColor="text1"/>
      <w:sz w:val="20"/>
      <w:szCs w:val="24"/>
      <w:lang w:val="nl-NL"/>
    </w:rPr>
  </w:style>
  <w:style w:type="paragraph" w:customStyle="1" w:styleId="Text3">
    <w:name w:val="Text 3"/>
    <w:basedOn w:val="Standaard"/>
    <w:link w:val="Text3Char"/>
    <w:rsid w:val="00605B53"/>
    <w:pPr>
      <w:tabs>
        <w:tab w:val="left" w:pos="2302"/>
      </w:tabs>
      <w:ind w:left="1202"/>
    </w:pPr>
  </w:style>
  <w:style w:type="character" w:customStyle="1" w:styleId="Text3Char">
    <w:name w:val="Text 3 Char"/>
    <w:link w:val="Text3"/>
    <w:rsid w:val="00605B53"/>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3399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Lambert</dc:creator>
  <cp:keywords/>
  <dc:description/>
  <cp:lastModifiedBy>Koen Lambert</cp:lastModifiedBy>
  <cp:revision>1</cp:revision>
  <dcterms:created xsi:type="dcterms:W3CDTF">2022-03-11T15:19:00Z</dcterms:created>
  <dcterms:modified xsi:type="dcterms:W3CDTF">2022-03-11T15:30:00Z</dcterms:modified>
</cp:coreProperties>
</file>