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8DE5" w14:textId="20271DEA" w:rsidR="00E16F5F" w:rsidRPr="00FD5087" w:rsidRDefault="003D754A" w:rsidP="00242C65">
      <w:pPr>
        <w:pStyle w:val="BodyText"/>
        <w:rPr>
          <w:rFonts w:ascii="Arial" w:hAnsi="Arial" w:cs="Arial"/>
          <w:sz w:val="20"/>
          <w:szCs w:val="20"/>
          <w:lang w:val="et-EE"/>
        </w:rPr>
      </w:pPr>
      <w:r>
        <w:rPr>
          <w:rFonts w:ascii="Arial" w:hAnsi="Arial" w:cs="Arial"/>
          <w:sz w:val="20"/>
          <w:szCs w:val="20"/>
          <w:lang w:val="et-EE"/>
        </w:rPr>
        <w:t xml:space="preserve">Lisa 1 kirjale </w:t>
      </w:r>
      <w:r w:rsidR="00052E48" w:rsidRPr="00052E48">
        <w:rPr>
          <w:rFonts w:ascii="Arial" w:hAnsi="Arial" w:cs="Arial"/>
          <w:sz w:val="20"/>
          <w:szCs w:val="20"/>
          <w:lang w:val="et-EE"/>
        </w:rPr>
        <w:t>NJ-KKJ-1/698</w:t>
      </w:r>
      <w:r w:rsidR="00052E48">
        <w:rPr>
          <w:rFonts w:ascii="Tahoma" w:hAnsi="Tahoma" w:cs="Tahoma"/>
          <w:color w:val="000000"/>
          <w:sz w:val="18"/>
          <w:szCs w:val="18"/>
          <w:shd w:val="clear" w:color="auto" w:fill="FFFFFF"/>
        </w:rPr>
        <w:t xml:space="preserve"> </w:t>
      </w:r>
      <w:r w:rsidR="00242C65" w:rsidRPr="00FD5087">
        <w:rPr>
          <w:rFonts w:ascii="Arial" w:hAnsi="Arial" w:cs="Arial"/>
          <w:sz w:val="20"/>
          <w:szCs w:val="20"/>
          <w:lang w:val="et-EE"/>
        </w:rPr>
        <w:t xml:space="preserve">Enefit280 nr 2 põlevkiviõli tootmisseadme rajamine. Keskkonnamõju hindamise </w:t>
      </w:r>
      <w:r w:rsidR="00FE450E" w:rsidRPr="00FD5087">
        <w:rPr>
          <w:rFonts w:ascii="Arial" w:hAnsi="Arial" w:cs="Arial"/>
          <w:sz w:val="20"/>
          <w:szCs w:val="20"/>
          <w:lang w:val="et-EE"/>
        </w:rPr>
        <w:t>aruanne</w:t>
      </w:r>
      <w:r w:rsidR="00E16F5F" w:rsidRPr="00FD5087">
        <w:rPr>
          <w:rFonts w:ascii="Arial" w:hAnsi="Arial" w:cs="Arial"/>
          <w:sz w:val="20"/>
          <w:szCs w:val="20"/>
          <w:lang w:val="et-EE"/>
        </w:rPr>
        <w:t xml:space="preserve">. </w:t>
      </w:r>
      <w:r w:rsidR="001C5847" w:rsidRPr="00FD5087">
        <w:rPr>
          <w:rFonts w:ascii="Arial" w:hAnsi="Arial" w:cs="Arial"/>
          <w:color w:val="000000"/>
          <w:sz w:val="20"/>
          <w:szCs w:val="20"/>
          <w:lang w:val="et-EE"/>
        </w:rPr>
        <w:t>Avalikustamisel laekunud</w:t>
      </w:r>
      <w:r w:rsidR="00E16F5F" w:rsidRPr="00FD5087">
        <w:rPr>
          <w:rFonts w:ascii="Arial" w:hAnsi="Arial" w:cs="Arial"/>
          <w:color w:val="000000"/>
          <w:sz w:val="20"/>
          <w:szCs w:val="20"/>
          <w:lang w:val="et-EE"/>
        </w:rPr>
        <w:t xml:space="preserve"> ettepanekutega arvestamine ning küsimustele vastamine.</w:t>
      </w:r>
    </w:p>
    <w:tbl>
      <w:tblPr>
        <w:tblStyle w:val="Tabelroheline1"/>
        <w:tblW w:w="13470" w:type="dxa"/>
        <w:tblInd w:w="-6" w:type="dxa"/>
        <w:tblLook w:val="04A0" w:firstRow="1" w:lastRow="0" w:firstColumn="1" w:lastColumn="0" w:noHBand="0" w:noVBand="1"/>
      </w:tblPr>
      <w:tblGrid>
        <w:gridCol w:w="6093"/>
        <w:gridCol w:w="7377"/>
      </w:tblGrid>
      <w:tr w:rsidR="00E16F5F" w:rsidRPr="00FD5087" w14:paraId="1ABB9AF7" w14:textId="77777777" w:rsidTr="6A2673FC">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6093" w:type="dxa"/>
            <w:vAlign w:val="top"/>
            <w:hideMark/>
          </w:tcPr>
          <w:p w14:paraId="6D52A17C" w14:textId="77777777" w:rsidR="00E16F5F" w:rsidRPr="00FD5087" w:rsidRDefault="00E16F5F" w:rsidP="009647D3">
            <w:pPr>
              <w:spacing w:beforeLines="60" w:before="144" w:after="120"/>
              <w:rPr>
                <w:rFonts w:cs="Arial"/>
                <w:sz w:val="18"/>
                <w:szCs w:val="18"/>
                <w:lang w:val="et-EE"/>
              </w:rPr>
            </w:pPr>
            <w:r w:rsidRPr="00FD5087">
              <w:rPr>
                <w:rFonts w:cs="Arial"/>
                <w:sz w:val="18"/>
                <w:szCs w:val="18"/>
                <w:lang w:val="et-EE"/>
              </w:rPr>
              <w:t>Esitatud ettepanek/küsimus</w:t>
            </w:r>
          </w:p>
        </w:tc>
        <w:tc>
          <w:tcPr>
            <w:tcW w:w="7377" w:type="dxa"/>
            <w:vAlign w:val="top"/>
            <w:hideMark/>
          </w:tcPr>
          <w:p w14:paraId="160A0DAE" w14:textId="77777777" w:rsidR="00E16F5F" w:rsidRPr="00FD5087" w:rsidRDefault="00E16F5F" w:rsidP="009647D3">
            <w:pPr>
              <w:spacing w:beforeLines="60" w:before="144" w:after="120"/>
              <w:cnfStyle w:val="100000000000" w:firstRow="1" w:lastRow="0" w:firstColumn="0" w:lastColumn="0" w:oddVBand="0" w:evenVBand="0" w:oddHBand="0" w:evenHBand="0" w:firstRowFirstColumn="0" w:firstRowLastColumn="0" w:lastRowFirstColumn="0" w:lastRowLastColumn="0"/>
              <w:rPr>
                <w:rFonts w:cs="Arial"/>
                <w:sz w:val="18"/>
                <w:szCs w:val="18"/>
                <w:lang w:val="et-EE"/>
              </w:rPr>
            </w:pPr>
            <w:r w:rsidRPr="00FD5087">
              <w:rPr>
                <w:rFonts w:cs="Arial"/>
                <w:sz w:val="18"/>
                <w:szCs w:val="18"/>
                <w:lang w:val="et-EE"/>
              </w:rPr>
              <w:t>Ettepanekuga arvestamine/ vastus küsimusele</w:t>
            </w:r>
          </w:p>
        </w:tc>
      </w:tr>
      <w:tr w:rsidR="00E53C21" w:rsidRPr="00FD5087" w14:paraId="1CFBD4B1"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470" w:type="dxa"/>
            <w:gridSpan w:val="2"/>
            <w:shd w:val="clear" w:color="auto" w:fill="D9D9D9" w:themeFill="background1" w:themeFillShade="D9"/>
            <w:vAlign w:val="top"/>
          </w:tcPr>
          <w:p w14:paraId="4D0CE21D" w14:textId="77777777" w:rsidR="00E53C21" w:rsidRDefault="00472B3B" w:rsidP="009647D3">
            <w:pPr>
              <w:spacing w:beforeLines="60" w:before="144"/>
              <w:rPr>
                <w:rFonts w:cs="Arial"/>
                <w:b/>
                <w:sz w:val="18"/>
                <w:szCs w:val="18"/>
                <w:lang w:val="et-EE"/>
              </w:rPr>
            </w:pPr>
            <w:r w:rsidRPr="00FD5087">
              <w:rPr>
                <w:rFonts w:cs="Arial"/>
                <w:b/>
                <w:bCs w:val="0"/>
                <w:sz w:val="18"/>
                <w:szCs w:val="18"/>
                <w:lang w:val="et-EE"/>
              </w:rPr>
              <w:t xml:space="preserve">Eesti Keskkonnaühenduste Koda / </w:t>
            </w:r>
            <w:proofErr w:type="spellStart"/>
            <w:r w:rsidRPr="00FD5087">
              <w:rPr>
                <w:rFonts w:cs="Arial"/>
                <w:b/>
                <w:bCs w:val="0"/>
                <w:sz w:val="18"/>
                <w:szCs w:val="18"/>
                <w:lang w:val="et-EE"/>
              </w:rPr>
              <w:t>Fridays</w:t>
            </w:r>
            <w:proofErr w:type="spellEnd"/>
            <w:r w:rsidRPr="00FD5087">
              <w:rPr>
                <w:rFonts w:cs="Arial"/>
                <w:b/>
                <w:bCs w:val="0"/>
                <w:sz w:val="18"/>
                <w:szCs w:val="18"/>
                <w:lang w:val="et-EE"/>
              </w:rPr>
              <w:t xml:space="preserve"> </w:t>
            </w:r>
            <w:proofErr w:type="spellStart"/>
            <w:r w:rsidRPr="00FD5087">
              <w:rPr>
                <w:rFonts w:cs="Arial"/>
                <w:b/>
                <w:bCs w:val="0"/>
                <w:sz w:val="18"/>
                <w:szCs w:val="18"/>
                <w:lang w:val="et-EE"/>
              </w:rPr>
              <w:t>for</w:t>
            </w:r>
            <w:proofErr w:type="spellEnd"/>
            <w:r w:rsidRPr="00FD5087">
              <w:rPr>
                <w:rFonts w:cs="Arial"/>
                <w:b/>
                <w:bCs w:val="0"/>
                <w:sz w:val="18"/>
                <w:szCs w:val="18"/>
                <w:lang w:val="et-EE"/>
              </w:rPr>
              <w:t xml:space="preserve"> </w:t>
            </w:r>
            <w:proofErr w:type="spellStart"/>
            <w:r w:rsidRPr="00FD5087">
              <w:rPr>
                <w:rFonts w:cs="Arial"/>
                <w:b/>
                <w:bCs w:val="0"/>
                <w:sz w:val="18"/>
                <w:szCs w:val="18"/>
                <w:lang w:val="et-EE"/>
              </w:rPr>
              <w:t>Future</w:t>
            </w:r>
            <w:proofErr w:type="spellEnd"/>
            <w:r w:rsidRPr="00FD5087">
              <w:rPr>
                <w:rFonts w:cs="Arial"/>
                <w:b/>
                <w:bCs w:val="0"/>
                <w:sz w:val="18"/>
                <w:szCs w:val="18"/>
                <w:lang w:val="et-EE"/>
              </w:rPr>
              <w:t xml:space="preserve"> Eesti (MTÜ Loodusvõlu)</w:t>
            </w:r>
            <w:r w:rsidR="0042043A" w:rsidRPr="00FD5087">
              <w:rPr>
                <w:rFonts w:cs="Arial"/>
                <w:b/>
                <w:bCs w:val="0"/>
                <w:sz w:val="18"/>
                <w:szCs w:val="18"/>
                <w:lang w:val="et-EE"/>
              </w:rPr>
              <w:t xml:space="preserve"> (</w:t>
            </w:r>
            <w:r w:rsidRPr="00FD5087">
              <w:rPr>
                <w:rFonts w:cs="Arial"/>
                <w:b/>
                <w:bCs w:val="0"/>
                <w:sz w:val="18"/>
                <w:szCs w:val="18"/>
                <w:lang w:val="et-EE"/>
              </w:rPr>
              <w:t>19</w:t>
            </w:r>
            <w:r w:rsidR="0042043A" w:rsidRPr="00FD5087">
              <w:rPr>
                <w:rFonts w:cs="Arial"/>
                <w:b/>
                <w:bCs w:val="0"/>
                <w:sz w:val="18"/>
                <w:szCs w:val="18"/>
                <w:lang w:val="et-EE"/>
              </w:rPr>
              <w:t>.0</w:t>
            </w:r>
            <w:r w:rsidRPr="00FD5087">
              <w:rPr>
                <w:rFonts w:cs="Arial"/>
                <w:b/>
                <w:bCs w:val="0"/>
                <w:sz w:val="18"/>
                <w:szCs w:val="18"/>
                <w:lang w:val="et-EE"/>
              </w:rPr>
              <w:t>5</w:t>
            </w:r>
            <w:r w:rsidR="0042043A" w:rsidRPr="00FD5087">
              <w:rPr>
                <w:rFonts w:cs="Arial"/>
                <w:b/>
                <w:bCs w:val="0"/>
                <w:sz w:val="18"/>
                <w:szCs w:val="18"/>
                <w:lang w:val="et-EE"/>
              </w:rPr>
              <w:t xml:space="preserve">.2023 nr </w:t>
            </w:r>
            <w:r w:rsidRPr="00FD5087">
              <w:rPr>
                <w:rFonts w:cs="Arial"/>
                <w:b/>
                <w:bCs w:val="0"/>
                <w:sz w:val="18"/>
                <w:szCs w:val="18"/>
                <w:lang w:val="et-EE"/>
              </w:rPr>
              <w:t>1-1/23/5798</w:t>
            </w:r>
            <w:r w:rsidR="0042043A" w:rsidRPr="00FD5087">
              <w:rPr>
                <w:rFonts w:cs="Arial"/>
                <w:b/>
                <w:bCs w:val="0"/>
                <w:sz w:val="18"/>
                <w:szCs w:val="18"/>
                <w:lang w:val="et-EE"/>
              </w:rPr>
              <w:t>)</w:t>
            </w:r>
          </w:p>
          <w:p w14:paraId="09E7CEF9" w14:textId="4A9B8925" w:rsidR="00BF7858" w:rsidRPr="00FD5087" w:rsidRDefault="00BF7858" w:rsidP="00BF7858">
            <w:pPr>
              <w:spacing w:beforeLines="60" w:before="144"/>
              <w:rPr>
                <w:rFonts w:cs="Arial"/>
                <w:b/>
                <w:bCs w:val="0"/>
                <w:sz w:val="18"/>
                <w:szCs w:val="18"/>
                <w:lang w:val="et-EE"/>
              </w:rPr>
            </w:pPr>
            <w:r>
              <w:rPr>
                <w:rFonts w:cs="Arial"/>
                <w:b/>
                <w:sz w:val="18"/>
                <w:szCs w:val="18"/>
                <w:lang w:val="et-EE"/>
              </w:rPr>
              <w:t>Kirjas on k</w:t>
            </w:r>
            <w:r w:rsidRPr="00BF7858">
              <w:rPr>
                <w:rFonts w:cs="Arial"/>
                <w:b/>
                <w:sz w:val="18"/>
                <w:szCs w:val="18"/>
                <w:lang w:val="et-EE"/>
              </w:rPr>
              <w:t xml:space="preserve">üsimused jagatud </w:t>
            </w:r>
            <w:r>
              <w:rPr>
                <w:rFonts w:cs="Arial"/>
                <w:b/>
                <w:sz w:val="18"/>
                <w:szCs w:val="18"/>
                <w:lang w:val="et-EE"/>
              </w:rPr>
              <w:t>viie</w:t>
            </w:r>
            <w:r w:rsidRPr="00BF7858">
              <w:rPr>
                <w:rFonts w:cs="Arial"/>
                <w:b/>
                <w:sz w:val="18"/>
                <w:szCs w:val="18"/>
                <w:lang w:val="et-EE"/>
              </w:rPr>
              <w:t>ks teemavaldkonnaks, alaküsimused nummerdamata. Loetavuse ja vastamise lihtsustamiseks on alaküsimus</w:t>
            </w:r>
            <w:r>
              <w:rPr>
                <w:rFonts w:cs="Arial"/>
                <w:b/>
                <w:sz w:val="18"/>
                <w:szCs w:val="18"/>
                <w:lang w:val="et-EE"/>
              </w:rPr>
              <w:t>ed</w:t>
            </w:r>
            <w:r w:rsidRPr="00BF7858">
              <w:rPr>
                <w:rFonts w:cs="Arial"/>
                <w:b/>
                <w:sz w:val="18"/>
                <w:szCs w:val="18"/>
                <w:lang w:val="et-EE"/>
              </w:rPr>
              <w:t xml:space="preserve"> </w:t>
            </w:r>
            <w:r>
              <w:rPr>
                <w:rFonts w:cs="Arial"/>
                <w:b/>
                <w:sz w:val="18"/>
                <w:szCs w:val="18"/>
                <w:lang w:val="et-EE"/>
              </w:rPr>
              <w:t>vastamisel nummerdatud.</w:t>
            </w:r>
          </w:p>
        </w:tc>
      </w:tr>
      <w:tr w:rsidR="00E16F5F" w:rsidRPr="00FD5087" w14:paraId="6C057FFD"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041B408E" w14:textId="47300B7E" w:rsidR="00125388" w:rsidRPr="00FD5087" w:rsidRDefault="008E62EB" w:rsidP="00BF7858">
            <w:pPr>
              <w:spacing w:beforeLines="60" w:before="144"/>
              <w:rPr>
                <w:rFonts w:cs="Arial"/>
                <w:sz w:val="18"/>
                <w:szCs w:val="18"/>
                <w:lang w:val="et-EE"/>
              </w:rPr>
            </w:pPr>
            <w:r w:rsidRPr="00FD5087">
              <w:rPr>
                <w:rFonts w:cs="Arial"/>
                <w:b/>
                <w:bCs w:val="0"/>
                <w:sz w:val="18"/>
                <w:szCs w:val="18"/>
                <w:lang w:val="et-EE"/>
              </w:rPr>
              <w:t>1. Õlitehase eluea selgusetus</w:t>
            </w:r>
            <w:r w:rsidR="00BF7858">
              <w:rPr>
                <w:rFonts w:cs="Arial"/>
                <w:b/>
                <w:sz w:val="18"/>
                <w:szCs w:val="18"/>
                <w:lang w:val="et-EE"/>
              </w:rPr>
              <w:t xml:space="preserve">. </w:t>
            </w:r>
            <w:proofErr w:type="spellStart"/>
            <w:r w:rsidRPr="00FD5087">
              <w:rPr>
                <w:rFonts w:cs="Arial"/>
                <w:sz w:val="18"/>
                <w:szCs w:val="18"/>
                <w:lang w:val="et-EE"/>
              </w:rPr>
              <w:t>Auvere</w:t>
            </w:r>
            <w:proofErr w:type="spellEnd"/>
            <w:r w:rsidRPr="00FD5087">
              <w:rPr>
                <w:rFonts w:cs="Arial"/>
                <w:sz w:val="18"/>
                <w:szCs w:val="18"/>
                <w:lang w:val="et-EE"/>
              </w:rPr>
              <w:t xml:space="preserve"> kompleksi detailplaneeringu KSH aruandest (edaspidi </w:t>
            </w:r>
            <w:proofErr w:type="spellStart"/>
            <w:r w:rsidRPr="00FD5087">
              <w:rPr>
                <w:rFonts w:cs="Arial"/>
                <w:sz w:val="18"/>
                <w:szCs w:val="18"/>
                <w:lang w:val="et-EE"/>
              </w:rPr>
              <w:t>Auvere</w:t>
            </w:r>
            <w:proofErr w:type="spellEnd"/>
            <w:r w:rsidRPr="00FD5087">
              <w:rPr>
                <w:rFonts w:cs="Arial"/>
                <w:sz w:val="18"/>
                <w:szCs w:val="18"/>
                <w:lang w:val="et-EE"/>
              </w:rPr>
              <w:t xml:space="preserve"> KSH aruanne), õlitehase KMH programmist ega KMH aruandest ei selgu õlitehase eluiga ehk kui pikaks ajaks on kavandatud õlitehas töötama. KMH aruandes on toodud esile õlitehase võimalik enneaegne sulgemine 2050. aastal, kui muidu pole võimalik Eestis saavutada kliimaneutraalsust (lk 35), millest aga järeldub, et õlitehas on plaanitud töötama ka pärast 2050. aastat. Õlitehase eluiga on seejuures oluline asjaolu, et oleks  võimalik hinnata õlitehase käitamise kumulatiivset mõju näiteks kliimamuutustele. </w:t>
            </w:r>
            <w:r w:rsidRPr="00FD5087">
              <w:rPr>
                <w:rFonts w:cs="Arial"/>
                <w:b/>
                <w:bCs w:val="0"/>
                <w:sz w:val="18"/>
                <w:szCs w:val="18"/>
                <w:lang w:val="et-EE"/>
              </w:rPr>
              <w:t>Palume aruandes selgitada, kui pikaks ajaks on õlitehas plaanitud töötama.</w:t>
            </w:r>
          </w:p>
        </w:tc>
        <w:tc>
          <w:tcPr>
            <w:tcW w:w="7377" w:type="dxa"/>
            <w:shd w:val="clear" w:color="auto" w:fill="FFFFFF" w:themeFill="background1"/>
            <w:vAlign w:val="top"/>
          </w:tcPr>
          <w:p w14:paraId="55287C8E" w14:textId="15C0B6D6" w:rsidR="00BF7858" w:rsidRDefault="00BF7858" w:rsidP="00BF7858">
            <w:pPr>
              <w:spacing w:beforeLines="60" w:before="144"/>
              <w:cnfStyle w:val="000000010000" w:firstRow="0" w:lastRow="0" w:firstColumn="0" w:lastColumn="0" w:oddVBand="0" w:evenVBand="0" w:oddHBand="0" w:evenHBand="1" w:firstRowFirstColumn="0" w:firstRowLastColumn="0" w:lastRowFirstColumn="0" w:lastRowLastColumn="0"/>
              <w:rPr>
                <w:rFonts w:eastAsia="Arial" w:cs="Arial"/>
                <w:color w:val="D13438"/>
                <w:sz w:val="18"/>
                <w:szCs w:val="18"/>
                <w:u w:val="single"/>
                <w:lang w:val="et-EE"/>
              </w:rPr>
            </w:pPr>
            <w:r w:rsidRPr="004E29C3">
              <w:rPr>
                <w:rFonts w:eastAsia="Arial" w:cs="Arial"/>
                <w:sz w:val="18"/>
                <w:szCs w:val="18"/>
                <w:u w:val="single"/>
                <w:lang w:val="et-EE"/>
              </w:rPr>
              <w:t xml:space="preserve">Praegu kavandatava </w:t>
            </w:r>
            <w:r w:rsidR="46A90555" w:rsidRPr="004E29C3">
              <w:rPr>
                <w:rFonts w:eastAsia="Arial" w:cs="Arial"/>
                <w:sz w:val="18"/>
                <w:szCs w:val="18"/>
                <w:u w:val="single"/>
                <w:lang w:val="et-EE"/>
              </w:rPr>
              <w:t xml:space="preserve">Enefit280 seadme tehniline eluiga on vähemalt 35 aastat. </w:t>
            </w:r>
            <w:r w:rsidRPr="603E8256">
              <w:rPr>
                <w:rFonts w:cs="Arial"/>
                <w:sz w:val="18"/>
                <w:szCs w:val="18"/>
                <w:lang w:val="et-EE"/>
              </w:rPr>
              <w:t xml:space="preserve">KMH aruande avalikul arutelul esitas arendaja mh projekti majandusliku tasuvusaja – see on alla 10 aasta. Siit järeldub, et isegi juhul, kui õlitehased tuleks uute KHG heitele seatud eesmärkide nimel kas alakoormata või </w:t>
            </w:r>
            <w:r w:rsidR="004E29C3">
              <w:rPr>
                <w:rFonts w:cs="Arial"/>
                <w:sz w:val="18"/>
                <w:szCs w:val="18"/>
                <w:lang w:val="et-EE"/>
              </w:rPr>
              <w:t>kavandatust varem</w:t>
            </w:r>
            <w:r w:rsidRPr="603E8256">
              <w:rPr>
                <w:rFonts w:cs="Arial"/>
                <w:sz w:val="18"/>
                <w:szCs w:val="18"/>
                <w:lang w:val="et-EE"/>
              </w:rPr>
              <w:t xml:space="preserve"> sulgeda, siis võib eeldada, et nende ehitamine on sulgemise perioodiks ennast juba ära tasunud</w:t>
            </w:r>
            <w:r>
              <w:rPr>
                <w:rFonts w:cs="Arial"/>
                <w:sz w:val="18"/>
                <w:szCs w:val="18"/>
                <w:lang w:val="et-EE"/>
              </w:rPr>
              <w:t xml:space="preserve">. </w:t>
            </w:r>
          </w:p>
          <w:p w14:paraId="51D385A1" w14:textId="733A2E2E" w:rsidR="00BF7858" w:rsidRPr="004E29C3" w:rsidRDefault="46A90555" w:rsidP="603C91B3">
            <w:pPr>
              <w:spacing w:beforeLines="60" w:before="144"/>
              <w:cnfStyle w:val="000000010000" w:firstRow="0" w:lastRow="0" w:firstColumn="0" w:lastColumn="0" w:oddVBand="0" w:evenVBand="0" w:oddHBand="0" w:evenHBand="1" w:firstRowFirstColumn="0" w:firstRowLastColumn="0" w:lastRowFirstColumn="0" w:lastRowLastColumn="0"/>
              <w:rPr>
                <w:rFonts w:eastAsia="Arial" w:cs="Arial"/>
                <w:sz w:val="18"/>
                <w:szCs w:val="18"/>
                <w:lang w:val="et-EE"/>
              </w:rPr>
            </w:pPr>
            <w:r w:rsidRPr="004E29C3">
              <w:rPr>
                <w:rFonts w:eastAsia="Arial" w:cs="Arial"/>
                <w:sz w:val="18"/>
                <w:szCs w:val="18"/>
                <w:lang w:val="et-EE"/>
              </w:rPr>
              <w:t>Seadme töötamisel jälgib E</w:t>
            </w:r>
            <w:r w:rsidR="004E29C3">
              <w:rPr>
                <w:rFonts w:eastAsia="Arial" w:cs="Arial"/>
                <w:sz w:val="18"/>
                <w:szCs w:val="18"/>
                <w:lang w:val="et-EE"/>
              </w:rPr>
              <w:t>nefit</w:t>
            </w:r>
            <w:r w:rsidRPr="004E29C3">
              <w:rPr>
                <w:rFonts w:eastAsia="Arial" w:cs="Arial"/>
                <w:sz w:val="18"/>
                <w:szCs w:val="18"/>
                <w:lang w:val="et-EE"/>
              </w:rPr>
              <w:t xml:space="preserve"> Power kõiki keskkonnakompleksloas fikseeritud tingimusi ja nõudeid. </w:t>
            </w:r>
            <w:r w:rsidR="00BF7858" w:rsidRPr="004E29C3">
              <w:rPr>
                <w:rFonts w:eastAsia="Arial" w:cs="Arial"/>
                <w:sz w:val="18"/>
                <w:szCs w:val="18"/>
                <w:lang w:val="et-EE"/>
              </w:rPr>
              <w:t>Võttes arvesse EL-i tänast kliima- ja energiapoliitikat on tõenäoline, et keskkonnakompleksloas sätestatud tingimusi ja nõudeid tulevikus muudetakse. Sellest tulenevalt kavandab E</w:t>
            </w:r>
            <w:r w:rsidR="004E29C3">
              <w:rPr>
                <w:rFonts w:eastAsia="Arial" w:cs="Arial"/>
                <w:sz w:val="18"/>
                <w:szCs w:val="18"/>
                <w:lang w:val="et-EE"/>
              </w:rPr>
              <w:t>nefit</w:t>
            </w:r>
            <w:r w:rsidR="00BF7858" w:rsidRPr="004E29C3">
              <w:rPr>
                <w:rFonts w:eastAsia="Arial" w:cs="Arial"/>
                <w:sz w:val="18"/>
                <w:szCs w:val="18"/>
                <w:lang w:val="et-EE"/>
              </w:rPr>
              <w:t xml:space="preserve"> Power ka seadme ümberehitamist ja selle kasutusotstarbe muutmist, et see ka edaspidi kehtivatele keskkonnanõuetele vastaks. Kui see peaks siiski mingil põhjusel ebaõnnestuma, siis võib muutuda ka seadme võimalik eluiga. </w:t>
            </w:r>
          </w:p>
          <w:p w14:paraId="18EF223D" w14:textId="4A29F85C" w:rsidR="005260DF" w:rsidRPr="004E29C3" w:rsidRDefault="00BF7858" w:rsidP="00BF7858">
            <w:pPr>
              <w:spacing w:beforeLines="60" w:before="144"/>
              <w:cnfStyle w:val="000000010000" w:firstRow="0" w:lastRow="0" w:firstColumn="0" w:lastColumn="0" w:oddVBand="0" w:evenVBand="0" w:oddHBand="0" w:evenHBand="1" w:firstRowFirstColumn="0" w:firstRowLastColumn="0" w:lastRowFirstColumn="0" w:lastRowLastColumn="0"/>
              <w:rPr>
                <w:rFonts w:eastAsia="Arial" w:cs="Arial"/>
                <w:sz w:val="18"/>
                <w:szCs w:val="18"/>
                <w:lang w:val="et-EE"/>
              </w:rPr>
            </w:pPr>
            <w:r w:rsidRPr="004E29C3">
              <w:rPr>
                <w:rFonts w:eastAsia="Arial" w:cs="Arial"/>
                <w:sz w:val="18"/>
                <w:szCs w:val="18"/>
                <w:lang w:val="et-EE"/>
              </w:rPr>
              <w:t>Seega, E</w:t>
            </w:r>
            <w:r w:rsidR="004E29C3">
              <w:rPr>
                <w:rFonts w:eastAsia="Arial" w:cs="Arial"/>
                <w:sz w:val="18"/>
                <w:szCs w:val="18"/>
                <w:lang w:val="et-EE"/>
              </w:rPr>
              <w:t>nefit</w:t>
            </w:r>
            <w:r w:rsidRPr="004E29C3">
              <w:rPr>
                <w:rFonts w:eastAsia="Arial" w:cs="Arial"/>
                <w:sz w:val="18"/>
                <w:szCs w:val="18"/>
                <w:lang w:val="et-EE"/>
              </w:rPr>
              <w:t xml:space="preserve"> Power kasutab E280 seadet nii kaua kui see on tehniliselt võimalik ja kooskõlas kehtivate nõuetega. </w:t>
            </w:r>
            <w:r w:rsidR="46A90555" w:rsidRPr="004E29C3">
              <w:rPr>
                <w:rFonts w:eastAsia="Arial" w:cs="Arial"/>
                <w:sz w:val="18"/>
                <w:szCs w:val="18"/>
                <w:lang w:val="et-EE"/>
              </w:rPr>
              <w:t>Eeldusel et E280 seade on varustatud vaja</w:t>
            </w:r>
            <w:r w:rsidRPr="004E29C3">
              <w:rPr>
                <w:rFonts w:eastAsia="Arial" w:cs="Arial"/>
                <w:sz w:val="18"/>
                <w:szCs w:val="18"/>
                <w:lang w:val="et-EE"/>
              </w:rPr>
              <w:t>li</w:t>
            </w:r>
            <w:r w:rsidR="46A90555" w:rsidRPr="004E29C3">
              <w:rPr>
                <w:rFonts w:eastAsia="Arial" w:cs="Arial"/>
                <w:sz w:val="18"/>
                <w:szCs w:val="18"/>
                <w:lang w:val="et-EE"/>
              </w:rPr>
              <w:t>ku tehnoloogiaga, saab see töötada ka peale 2050</w:t>
            </w:r>
            <w:r w:rsidRPr="004E29C3">
              <w:rPr>
                <w:rFonts w:eastAsia="Arial" w:cs="Arial"/>
                <w:sz w:val="18"/>
                <w:szCs w:val="18"/>
                <w:lang w:val="et-EE"/>
              </w:rPr>
              <w:t>.</w:t>
            </w:r>
            <w:r w:rsidR="46A90555" w:rsidRPr="004E29C3">
              <w:rPr>
                <w:rFonts w:eastAsia="Arial" w:cs="Arial"/>
                <w:sz w:val="18"/>
                <w:szCs w:val="18"/>
                <w:lang w:val="et-EE"/>
              </w:rPr>
              <w:t xml:space="preserve"> aasta</w:t>
            </w:r>
            <w:r w:rsidRPr="004E29C3">
              <w:rPr>
                <w:rFonts w:eastAsia="Arial" w:cs="Arial"/>
                <w:sz w:val="18"/>
                <w:szCs w:val="18"/>
                <w:lang w:val="et-EE"/>
              </w:rPr>
              <w:t>t</w:t>
            </w:r>
            <w:r w:rsidR="46A90555" w:rsidRPr="004E29C3">
              <w:rPr>
                <w:rFonts w:eastAsia="Arial" w:cs="Arial"/>
                <w:sz w:val="18"/>
                <w:szCs w:val="18"/>
                <w:lang w:val="et-EE"/>
              </w:rPr>
              <w:t xml:space="preserve"> ning ei tekita täiendavat kumulatiivset kliimamõju. </w:t>
            </w:r>
          </w:p>
          <w:p w14:paraId="167A4714" w14:textId="44E6D0EC" w:rsidR="00BF7858" w:rsidRPr="00BF7858" w:rsidRDefault="00BF7858" w:rsidP="00BF7858">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 xml:space="preserve">KMH aruande </w:t>
            </w:r>
            <w:proofErr w:type="spellStart"/>
            <w:r>
              <w:rPr>
                <w:rFonts w:cs="Arial"/>
                <w:sz w:val="18"/>
                <w:szCs w:val="18"/>
                <w:lang w:val="et-EE"/>
              </w:rPr>
              <w:t>ptk</w:t>
            </w:r>
            <w:proofErr w:type="spellEnd"/>
            <w:r>
              <w:rPr>
                <w:rFonts w:cs="Arial"/>
                <w:sz w:val="18"/>
                <w:szCs w:val="18"/>
                <w:lang w:val="et-EE"/>
              </w:rPr>
              <w:t xml:space="preserve"> 2.1 on täiendatud eeltoodud teabega Enefit280-2 seadme võimaliku eluea kohta. </w:t>
            </w:r>
          </w:p>
        </w:tc>
      </w:tr>
      <w:tr w:rsidR="00E16F5F" w:rsidRPr="00FD5087" w14:paraId="17E8BD19"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7F31BF52" w14:textId="77777777" w:rsidR="0042043A" w:rsidRPr="00FD5087" w:rsidRDefault="008E62EB" w:rsidP="008E62EB">
            <w:pPr>
              <w:pStyle w:val="Teksttabel"/>
              <w:spacing w:before="144"/>
              <w:rPr>
                <w:b/>
                <w:bCs w:val="0"/>
                <w:lang w:val="et-EE"/>
              </w:rPr>
            </w:pPr>
            <w:r w:rsidRPr="00FD5087">
              <w:rPr>
                <w:b/>
                <w:bCs w:val="0"/>
                <w:lang w:val="et-EE"/>
              </w:rPr>
              <w:t>2. Tegevuse kooskõla strateegiliste arengudokumentidega ja kliimaregulatsiooniga</w:t>
            </w:r>
          </w:p>
          <w:p w14:paraId="2A0BEFD1" w14:textId="127C8B7B" w:rsidR="008E62EB" w:rsidRPr="00FD5087" w:rsidRDefault="008E62EB" w:rsidP="008E62EB">
            <w:pPr>
              <w:pStyle w:val="Teksttabel"/>
              <w:spacing w:before="144"/>
              <w:rPr>
                <w:lang w:val="et-EE"/>
              </w:rPr>
            </w:pPr>
            <w:r w:rsidRPr="00FD5087">
              <w:rPr>
                <w:lang w:val="et-EE"/>
              </w:rPr>
              <w:t xml:space="preserve">2a. KMH aruandes (lk 13) viidatakse KMH programmis </w:t>
            </w:r>
            <w:r w:rsidRPr="00FD5087">
              <w:rPr>
                <w:b/>
                <w:lang w:val="et-EE"/>
              </w:rPr>
              <w:t>Euroopa kliimamäärusest</w:t>
            </w:r>
            <w:r w:rsidRPr="00FD5087">
              <w:rPr>
                <w:lang w:val="et-EE"/>
              </w:rPr>
              <w:t xml:space="preserve"> antud</w:t>
            </w:r>
            <w:r w:rsidRPr="00FD5087">
              <w:rPr>
                <w:bCs w:val="0"/>
                <w:lang w:val="et-EE"/>
              </w:rPr>
              <w:t xml:space="preserve"> </w:t>
            </w:r>
            <w:r w:rsidRPr="00FD5087">
              <w:rPr>
                <w:lang w:val="et-EE"/>
              </w:rPr>
              <w:t xml:space="preserve">ülevaatele (KMH programm lk 16), kuid </w:t>
            </w:r>
            <w:r w:rsidRPr="00FD5087">
              <w:rPr>
                <w:lang w:val="et-EE"/>
              </w:rPr>
              <w:lastRenderedPageBreak/>
              <w:t>KMH programmis ega aruandes ei ole üldse hinnatud,</w:t>
            </w:r>
            <w:r w:rsidRPr="00FD5087">
              <w:rPr>
                <w:bCs w:val="0"/>
                <w:lang w:val="et-EE"/>
              </w:rPr>
              <w:t xml:space="preserve"> </w:t>
            </w:r>
            <w:r w:rsidRPr="00FD5087">
              <w:rPr>
                <w:lang w:val="et-EE"/>
              </w:rPr>
              <w:t>kas ja kuivõrd kavandatav tegevus hõlbustab või halvendab Euroopa kliimamääruses seatud</w:t>
            </w:r>
            <w:r w:rsidRPr="00FD5087">
              <w:rPr>
                <w:bCs w:val="0"/>
                <w:lang w:val="et-EE"/>
              </w:rPr>
              <w:t xml:space="preserve"> </w:t>
            </w:r>
            <w:r w:rsidRPr="00FD5087">
              <w:rPr>
                <w:lang w:val="et-EE"/>
              </w:rPr>
              <w:t>arvuliste eesmärkide (kliimaneutraalsus 2050. aastaks, süsinikuheite vähendamine 2030.</w:t>
            </w:r>
            <w:r w:rsidRPr="00FD5087">
              <w:rPr>
                <w:bCs w:val="0"/>
                <w:lang w:val="et-EE"/>
              </w:rPr>
              <w:t xml:space="preserve"> </w:t>
            </w:r>
            <w:r w:rsidRPr="00FD5087">
              <w:rPr>
                <w:lang w:val="et-EE"/>
              </w:rPr>
              <w:t>aastaks) täitmist. Samuti ei selgu, kuidas on tegevus kooskõlas Euroopa kliimamääruse</w:t>
            </w:r>
            <w:r w:rsidRPr="00FD5087">
              <w:rPr>
                <w:bCs w:val="0"/>
                <w:lang w:val="et-EE"/>
              </w:rPr>
              <w:t xml:space="preserve"> </w:t>
            </w:r>
            <w:r w:rsidRPr="00FD5087">
              <w:rPr>
                <w:lang w:val="et-EE"/>
              </w:rPr>
              <w:t>nõudega, et EL ja liikmesriigid seaksid prioriteediks vähendada kiiresti ja prognoositavalt KHG</w:t>
            </w:r>
            <w:r w:rsidRPr="00FD5087">
              <w:rPr>
                <w:bCs w:val="0"/>
                <w:lang w:val="et-EE"/>
              </w:rPr>
              <w:t xml:space="preserve"> </w:t>
            </w:r>
            <w:r w:rsidRPr="00FD5087">
              <w:rPr>
                <w:lang w:val="et-EE"/>
              </w:rPr>
              <w:t xml:space="preserve">heidet ning seda just </w:t>
            </w:r>
            <w:proofErr w:type="spellStart"/>
            <w:r w:rsidRPr="00FD5087">
              <w:rPr>
                <w:lang w:val="et-EE"/>
              </w:rPr>
              <w:t>lähikümnendil</w:t>
            </w:r>
            <w:proofErr w:type="spellEnd"/>
            <w:r w:rsidRPr="00FD5087">
              <w:rPr>
                <w:lang w:val="et-EE"/>
              </w:rPr>
              <w:t xml:space="preserve"> (art 4 (1) koos määruse </w:t>
            </w:r>
            <w:r w:rsidRPr="00FD5087">
              <w:rPr>
                <w:bCs w:val="0"/>
                <w:lang w:val="et-EE"/>
              </w:rPr>
              <w:t xml:space="preserve"> p</w:t>
            </w:r>
            <w:r w:rsidRPr="00FD5087">
              <w:rPr>
                <w:lang w:val="et-EE"/>
              </w:rPr>
              <w:t>reambuliga, milles on viidatud</w:t>
            </w:r>
            <w:r w:rsidRPr="00FD5087">
              <w:rPr>
                <w:bCs w:val="0"/>
                <w:lang w:val="et-EE"/>
              </w:rPr>
              <w:t xml:space="preserve"> </w:t>
            </w:r>
            <w:r w:rsidRPr="00FD5087">
              <w:rPr>
                <w:lang w:val="et-EE"/>
              </w:rPr>
              <w:t xml:space="preserve">Pariisi kliimaleppele ja IPCC aruannetele). </w:t>
            </w:r>
            <w:r w:rsidRPr="00FD5087">
              <w:rPr>
                <w:b/>
                <w:bCs w:val="0"/>
                <w:lang w:val="et-EE"/>
              </w:rPr>
              <w:t>Palume KMH aruandes eeltoodut hinnata ja selged järeldused välja tuua.</w:t>
            </w:r>
            <w:r w:rsidRPr="00FD5087">
              <w:rPr>
                <w:lang w:val="et-EE"/>
              </w:rPr>
              <w:t xml:space="preserve"> </w:t>
            </w:r>
            <w:r w:rsidRPr="00FD5087">
              <w:rPr>
                <w:b/>
                <w:bCs w:val="0"/>
                <w:lang w:val="et-EE"/>
              </w:rPr>
              <w:t>Sealhulgas palume välja tuua, et õlitehase käitamisega kaasneb olulise hulga kasvuhoonegaaside heite eksport</w:t>
            </w:r>
            <w:r w:rsidRPr="00FD5087">
              <w:rPr>
                <w:lang w:val="et-EE"/>
              </w:rPr>
              <w:t>, mis ei ole kooskõlas üleilmse</w:t>
            </w:r>
            <w:r w:rsidRPr="00FD5087">
              <w:rPr>
                <w:bCs w:val="0"/>
                <w:lang w:val="et-EE"/>
              </w:rPr>
              <w:t xml:space="preserve"> </w:t>
            </w:r>
            <w:r w:rsidRPr="00FD5087">
              <w:rPr>
                <w:lang w:val="et-EE"/>
              </w:rPr>
              <w:t>kliimapoliitika eesmärkidega</w:t>
            </w:r>
            <w:r w:rsidRPr="00FD5087">
              <w:rPr>
                <w:rStyle w:val="FootnoteReference"/>
                <w:lang w:val="et-EE"/>
              </w:rPr>
              <w:footnoteReference w:id="2"/>
            </w:r>
            <w:r w:rsidRPr="00FD5087">
              <w:rPr>
                <w:lang w:val="et-EE"/>
              </w:rPr>
              <w:t>, eelkõige 2015. aastal vastuvõetud ÜRO ülemaailmse säästva</w:t>
            </w:r>
            <w:r w:rsidRPr="00FD5087">
              <w:rPr>
                <w:bCs w:val="0"/>
                <w:lang w:val="et-EE"/>
              </w:rPr>
              <w:t xml:space="preserve"> </w:t>
            </w:r>
            <w:r w:rsidRPr="00FD5087">
              <w:rPr>
                <w:lang w:val="et-EE"/>
              </w:rPr>
              <w:t>arengu eesmärgiga “tegutseda kiirelt ja otsustavalt kliimamuutuste ja nende mõjuga</w:t>
            </w:r>
            <w:r w:rsidRPr="00FD5087">
              <w:rPr>
                <w:bCs w:val="0"/>
                <w:lang w:val="et-EE"/>
              </w:rPr>
              <w:t xml:space="preserve"> </w:t>
            </w:r>
            <w:r w:rsidRPr="00FD5087">
              <w:rPr>
                <w:lang w:val="et-EE"/>
              </w:rPr>
              <w:t>võitlemiseks” (SDG13).</w:t>
            </w:r>
          </w:p>
        </w:tc>
        <w:tc>
          <w:tcPr>
            <w:tcW w:w="7377" w:type="dxa"/>
            <w:shd w:val="clear" w:color="auto" w:fill="FFFFFF" w:themeFill="background1"/>
            <w:vAlign w:val="top"/>
          </w:tcPr>
          <w:p w14:paraId="67C773F3" w14:textId="4729BD95" w:rsidR="00333095" w:rsidRPr="00FD5087" w:rsidRDefault="62BA39ED" w:rsidP="00333095">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6FE02FA2">
              <w:rPr>
                <w:rFonts w:cs="Arial"/>
                <w:sz w:val="18"/>
                <w:szCs w:val="18"/>
                <w:lang w:val="et-EE"/>
              </w:rPr>
              <w:lastRenderedPageBreak/>
              <w:t>Ei saa nõustuda, et KMH aruandes ei ole üldse hinnatud kas ja kuivõrd kavandatav tegevus hõlbustab või halvendab Euroopa kliimamääruses seatud arvuliste eesmärkide täitmist. Peatükis 4.1 Mõju kliimamuutustele on lõppjäreldusena toodu</w:t>
            </w:r>
            <w:r w:rsidR="00694B80" w:rsidRPr="6FE02FA2">
              <w:rPr>
                <w:rFonts w:cs="Arial"/>
                <w:sz w:val="18"/>
                <w:szCs w:val="18"/>
                <w:lang w:val="et-EE"/>
              </w:rPr>
              <w:t>d</w:t>
            </w:r>
            <w:r w:rsidRPr="6FE02FA2">
              <w:rPr>
                <w:rFonts w:cs="Arial"/>
                <w:sz w:val="18"/>
                <w:szCs w:val="18"/>
                <w:lang w:val="et-EE"/>
              </w:rPr>
              <w:t xml:space="preserve"> järgmine hinnang: „Samas võib siiski olla risk, et kavandatava tehasega lisanduv KHG heide raskendab või isegi takistab </w:t>
            </w:r>
            <w:r w:rsidRPr="6FE02FA2">
              <w:rPr>
                <w:rFonts w:cs="Arial"/>
                <w:sz w:val="18"/>
                <w:szCs w:val="18"/>
                <w:lang w:val="et-EE"/>
              </w:rPr>
              <w:lastRenderedPageBreak/>
              <w:t>strateegias „Eesti 2035“ seatud netoheite 8 mln t CO</w:t>
            </w:r>
            <w:r w:rsidRPr="004E29C3">
              <w:rPr>
                <w:rFonts w:cs="Arial"/>
                <w:sz w:val="18"/>
                <w:szCs w:val="18"/>
                <w:vertAlign w:val="subscript"/>
                <w:lang w:val="et-EE"/>
              </w:rPr>
              <w:t>2</w:t>
            </w:r>
            <w:r w:rsidRPr="6FE02FA2">
              <w:rPr>
                <w:rFonts w:cs="Arial"/>
                <w:sz w:val="18"/>
                <w:szCs w:val="18"/>
                <w:lang w:val="et-EE"/>
              </w:rPr>
              <w:t xml:space="preserve"> saavutamist. Seda riski tuleb hinnata Eesti kliimapoliitika ja strateegia „Eesti 2035“ elluviimise eest vastutavatel osapooltel</w:t>
            </w:r>
            <w:r w:rsidR="004E29C3">
              <w:rPr>
                <w:rFonts w:cs="Arial"/>
                <w:sz w:val="18"/>
                <w:szCs w:val="18"/>
                <w:lang w:val="et-EE"/>
              </w:rPr>
              <w:t>,</w:t>
            </w:r>
            <w:r w:rsidRPr="6FE02FA2">
              <w:rPr>
                <w:rFonts w:cs="Arial"/>
                <w:sz w:val="18"/>
                <w:szCs w:val="18"/>
                <w:lang w:val="et-EE"/>
              </w:rPr>
              <w:t xml:space="preserve"> võttes arvesse kõikide majandussektorite panust KHG emissioonide tekkesse ja selle edasisse vähendamisesse ning anda omapoolne hinnang, kas ja/või kuidas võivad käesolevas aruandes kirjeldatud Enefit280-2 kaasnevad KHG emissioonid seatud eesmärkide elluviimist mõjutada, sh arvestades võimalike leevendavate  meetmete rakendamist (nt uttegaaside </w:t>
            </w:r>
            <w:proofErr w:type="spellStart"/>
            <w:r w:rsidRPr="6FE02FA2">
              <w:rPr>
                <w:rFonts w:cs="Arial"/>
                <w:sz w:val="18"/>
                <w:szCs w:val="18"/>
                <w:lang w:val="et-EE"/>
              </w:rPr>
              <w:t>väärindamine</w:t>
            </w:r>
            <w:proofErr w:type="spellEnd"/>
            <w:r w:rsidRPr="6FE02FA2">
              <w:rPr>
                <w:rFonts w:cs="Arial"/>
                <w:sz w:val="18"/>
                <w:szCs w:val="18"/>
                <w:lang w:val="et-EE"/>
              </w:rPr>
              <w:t xml:space="preserve"> muudeks toodeteks).“</w:t>
            </w:r>
          </w:p>
          <w:p w14:paraId="56135E1C" w14:textId="7D817981" w:rsidR="00333095" w:rsidRPr="00FD5087" w:rsidRDefault="329094C5" w:rsidP="00333095">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6FE02FA2">
              <w:rPr>
                <w:rFonts w:cs="Arial"/>
                <w:sz w:val="18"/>
                <w:szCs w:val="18"/>
                <w:lang w:val="et-EE"/>
              </w:rPr>
              <w:t xml:space="preserve">Lisaks on eeltoodud lõigu lõppu lisatud täiendus vastavalt </w:t>
            </w:r>
            <w:r w:rsidR="00694B80">
              <w:rPr>
                <w:rFonts w:cs="Arial"/>
                <w:sz w:val="18"/>
                <w:szCs w:val="18"/>
                <w:lang w:val="et-EE"/>
              </w:rPr>
              <w:t>küsimusele</w:t>
            </w:r>
            <w:r w:rsidRPr="6FE02FA2">
              <w:rPr>
                <w:rFonts w:cs="Arial"/>
                <w:sz w:val="18"/>
                <w:szCs w:val="18"/>
                <w:lang w:val="et-EE"/>
              </w:rPr>
              <w:t xml:space="preserve"> 2</w:t>
            </w:r>
            <w:r w:rsidR="00FC01F4">
              <w:rPr>
                <w:rFonts w:cs="Arial"/>
                <w:sz w:val="18"/>
                <w:szCs w:val="18"/>
                <w:lang w:val="et-EE"/>
              </w:rPr>
              <w:t>h</w:t>
            </w:r>
            <w:r w:rsidRPr="6FE02FA2">
              <w:rPr>
                <w:rFonts w:cs="Arial"/>
                <w:sz w:val="18"/>
                <w:szCs w:val="18"/>
                <w:lang w:val="et-EE"/>
              </w:rPr>
              <w:t>: „Eriti arvesse võtte</w:t>
            </w:r>
            <w:r w:rsidR="00694B80" w:rsidRPr="6FE02FA2">
              <w:rPr>
                <w:rFonts w:cs="Arial"/>
                <w:sz w:val="18"/>
                <w:szCs w:val="18"/>
                <w:lang w:val="et-EE"/>
              </w:rPr>
              <w:t>s</w:t>
            </w:r>
            <w:r w:rsidRPr="6FE02FA2">
              <w:rPr>
                <w:rFonts w:cs="Arial"/>
                <w:sz w:val="18"/>
                <w:szCs w:val="18"/>
                <w:lang w:val="et-EE"/>
              </w:rPr>
              <w:t xml:space="preserve"> viimast Eesti KHG heite prognoosi, mille kohaselt ei saavutata 2035. aasta eesmärgi 8 miljoni tonni CO</w:t>
            </w:r>
            <w:r w:rsidRPr="004E29C3">
              <w:rPr>
                <w:rFonts w:cs="Arial"/>
                <w:sz w:val="18"/>
                <w:szCs w:val="18"/>
                <w:vertAlign w:val="subscript"/>
                <w:lang w:val="et-EE"/>
              </w:rPr>
              <w:t>2</w:t>
            </w:r>
            <w:r w:rsidRPr="6FE02FA2">
              <w:rPr>
                <w:rFonts w:cs="Arial"/>
                <w:sz w:val="18"/>
                <w:szCs w:val="18"/>
                <w:lang w:val="et-EE"/>
              </w:rPr>
              <w:t>e eesmärki ei WEM stsenaariumi (olemasolevate meetmete korral) ega ka WAM stsenaariumi (kavandatud meetmete rakendamisel) korral. Prognoosi kohaselt oleks 2035. aasta KHG heide, LULUCF-i arvestades, WEM stsenaariumi korral 11,42 miljonit tonni CO</w:t>
            </w:r>
            <w:r w:rsidRPr="00354A4F">
              <w:rPr>
                <w:rFonts w:cs="Arial"/>
                <w:sz w:val="18"/>
                <w:szCs w:val="18"/>
                <w:vertAlign w:val="subscript"/>
                <w:lang w:val="et-EE"/>
              </w:rPr>
              <w:t>2</w:t>
            </w:r>
            <w:r w:rsidRPr="6FE02FA2">
              <w:rPr>
                <w:rFonts w:cs="Arial"/>
                <w:sz w:val="18"/>
                <w:szCs w:val="18"/>
                <w:lang w:val="et-EE"/>
              </w:rPr>
              <w:t xml:space="preserve"> ja WAM stsenaariumi korral 9,15 miljonit tonni CO</w:t>
            </w:r>
            <w:r w:rsidRPr="00354A4F">
              <w:rPr>
                <w:rFonts w:cs="Arial"/>
                <w:sz w:val="18"/>
                <w:szCs w:val="18"/>
                <w:vertAlign w:val="subscript"/>
                <w:lang w:val="et-EE"/>
              </w:rPr>
              <w:t>2</w:t>
            </w:r>
            <w:r w:rsidRPr="6FE02FA2">
              <w:rPr>
                <w:rFonts w:cs="Arial"/>
                <w:sz w:val="18"/>
                <w:szCs w:val="18"/>
                <w:lang w:val="et-EE"/>
              </w:rPr>
              <w:t xml:space="preserve">. </w:t>
            </w:r>
            <w:r w:rsidR="32CD396E" w:rsidRPr="6FE02FA2">
              <w:rPr>
                <w:rFonts w:cs="Arial"/>
                <w:sz w:val="18"/>
                <w:szCs w:val="18"/>
                <w:lang w:val="et-EE"/>
              </w:rPr>
              <w:t>Mudelis on kavandatava Enefit280-2 tulevast pote</w:t>
            </w:r>
            <w:r w:rsidR="03367B4A" w:rsidRPr="6FE02FA2">
              <w:rPr>
                <w:rFonts w:cs="Arial"/>
                <w:sz w:val="18"/>
                <w:szCs w:val="18"/>
                <w:lang w:val="et-EE"/>
              </w:rPr>
              <w:t xml:space="preserve">ntsiaalset </w:t>
            </w:r>
            <w:r w:rsidR="32CD396E" w:rsidRPr="6FE02FA2">
              <w:rPr>
                <w:rFonts w:cs="Arial"/>
                <w:sz w:val="18"/>
                <w:szCs w:val="18"/>
                <w:lang w:val="et-EE"/>
              </w:rPr>
              <w:t xml:space="preserve">heidet </w:t>
            </w:r>
            <w:r w:rsidR="60913D36" w:rsidRPr="6FE02FA2">
              <w:rPr>
                <w:rFonts w:cs="Arial"/>
                <w:sz w:val="18"/>
                <w:szCs w:val="18"/>
                <w:lang w:val="et-EE"/>
              </w:rPr>
              <w:t xml:space="preserve">teatud mahus </w:t>
            </w:r>
            <w:r w:rsidR="32CD396E" w:rsidRPr="6FE02FA2">
              <w:rPr>
                <w:rFonts w:cs="Arial"/>
                <w:sz w:val="18"/>
                <w:szCs w:val="18"/>
                <w:lang w:val="et-EE"/>
              </w:rPr>
              <w:t>juba</w:t>
            </w:r>
            <w:r w:rsidR="759349F8" w:rsidRPr="6FE02FA2">
              <w:rPr>
                <w:rFonts w:cs="Arial"/>
                <w:sz w:val="18"/>
                <w:szCs w:val="18"/>
                <w:lang w:val="et-EE"/>
              </w:rPr>
              <w:t xml:space="preserve"> arvesse</w:t>
            </w:r>
            <w:r w:rsidR="32CD396E" w:rsidRPr="6FE02FA2">
              <w:rPr>
                <w:rFonts w:cs="Arial"/>
                <w:sz w:val="18"/>
                <w:szCs w:val="18"/>
                <w:lang w:val="et-EE"/>
              </w:rPr>
              <w:t xml:space="preserve"> </w:t>
            </w:r>
            <w:r w:rsidR="6FB82FE7" w:rsidRPr="6FE02FA2">
              <w:rPr>
                <w:rFonts w:cs="Arial"/>
                <w:sz w:val="18"/>
                <w:szCs w:val="18"/>
                <w:lang w:val="et-EE"/>
              </w:rPr>
              <w:t>võetud ning Keskkonnaministeeriumi</w:t>
            </w:r>
            <w:r w:rsidR="44CF5919" w:rsidRPr="6FE02FA2">
              <w:rPr>
                <w:rFonts w:cs="Arial"/>
                <w:sz w:val="18"/>
                <w:szCs w:val="18"/>
                <w:lang w:val="et-EE"/>
              </w:rPr>
              <w:t xml:space="preserve">lt laekunud info kohaselt arvestab mudel </w:t>
            </w:r>
            <w:r w:rsidR="5B9E61B5" w:rsidRPr="6FE02FA2">
              <w:rPr>
                <w:rFonts w:cs="Arial"/>
                <w:sz w:val="18"/>
                <w:szCs w:val="18"/>
                <w:lang w:val="et-EE"/>
              </w:rPr>
              <w:t xml:space="preserve">nii WEM kui ka WAM stsenaariumi korral </w:t>
            </w:r>
            <w:r w:rsidR="4EB634A0" w:rsidRPr="6FE02FA2">
              <w:rPr>
                <w:rFonts w:cs="Arial"/>
                <w:sz w:val="18"/>
                <w:szCs w:val="18"/>
                <w:lang w:val="et-EE"/>
              </w:rPr>
              <w:t>KHG</w:t>
            </w:r>
            <w:r w:rsidR="72428E12" w:rsidRPr="6FE02FA2">
              <w:rPr>
                <w:rFonts w:cs="Arial"/>
                <w:sz w:val="18"/>
                <w:szCs w:val="18"/>
                <w:lang w:val="et-EE"/>
              </w:rPr>
              <w:t xml:space="preserve"> heitkoguseks 2035.</w:t>
            </w:r>
            <w:r w:rsidR="00CA2783">
              <w:rPr>
                <w:rFonts w:cs="Arial"/>
                <w:sz w:val="18"/>
                <w:szCs w:val="18"/>
                <w:lang w:val="et-EE"/>
              </w:rPr>
              <w:t xml:space="preserve"> </w:t>
            </w:r>
            <w:r w:rsidR="72428E12" w:rsidRPr="6FE02FA2">
              <w:rPr>
                <w:rFonts w:cs="Arial"/>
                <w:sz w:val="18"/>
                <w:szCs w:val="18"/>
                <w:lang w:val="et-EE"/>
              </w:rPr>
              <w:t>aastal 480 ktCO</w:t>
            </w:r>
            <w:r w:rsidR="72428E12" w:rsidRPr="00CA2783">
              <w:rPr>
                <w:rFonts w:cs="Arial"/>
                <w:sz w:val="18"/>
                <w:szCs w:val="18"/>
                <w:vertAlign w:val="subscript"/>
                <w:lang w:val="et-EE"/>
              </w:rPr>
              <w:t>2</w:t>
            </w:r>
            <w:r w:rsidR="72428E12" w:rsidRPr="6FE02FA2">
              <w:rPr>
                <w:rFonts w:cs="Arial"/>
                <w:sz w:val="18"/>
                <w:szCs w:val="18"/>
                <w:lang w:val="et-EE"/>
              </w:rPr>
              <w:t xml:space="preserve"> (</w:t>
            </w:r>
            <w:r w:rsidR="00294CBF">
              <w:rPr>
                <w:rFonts w:cs="Arial"/>
                <w:sz w:val="18"/>
                <w:szCs w:val="18"/>
                <w:lang w:val="et-EE"/>
              </w:rPr>
              <w:t>kajastub</w:t>
            </w:r>
            <w:r w:rsidR="72428E12" w:rsidRPr="6FE02FA2">
              <w:rPr>
                <w:rFonts w:cs="Arial"/>
                <w:sz w:val="18"/>
                <w:szCs w:val="18"/>
                <w:lang w:val="et-EE"/>
              </w:rPr>
              <w:t xml:space="preserve"> </w:t>
            </w:r>
            <w:proofErr w:type="spellStart"/>
            <w:r w:rsidR="00294CBF">
              <w:rPr>
                <w:rFonts w:cs="Arial"/>
                <w:sz w:val="18"/>
                <w:szCs w:val="18"/>
                <w:lang w:val="et-EE"/>
              </w:rPr>
              <w:t>HK</w:t>
            </w:r>
            <w:r w:rsidR="72428E12" w:rsidRPr="6FE02FA2">
              <w:rPr>
                <w:rFonts w:cs="Arial"/>
                <w:sz w:val="18"/>
                <w:szCs w:val="18"/>
                <w:lang w:val="et-EE"/>
              </w:rPr>
              <w:t>Si</w:t>
            </w:r>
            <w:proofErr w:type="spellEnd"/>
            <w:r w:rsidR="72428E12" w:rsidRPr="6FE02FA2">
              <w:rPr>
                <w:rFonts w:cs="Arial"/>
                <w:sz w:val="18"/>
                <w:szCs w:val="18"/>
                <w:lang w:val="et-EE"/>
              </w:rPr>
              <w:t xml:space="preserve"> </w:t>
            </w:r>
            <w:r w:rsidR="00294CBF">
              <w:rPr>
                <w:rFonts w:cs="Arial"/>
                <w:sz w:val="18"/>
                <w:szCs w:val="18"/>
                <w:lang w:val="et-EE"/>
              </w:rPr>
              <w:t>kuuluvate käitiste arvestuses</w:t>
            </w:r>
            <w:r w:rsidR="72428E12" w:rsidRPr="6FE02FA2">
              <w:rPr>
                <w:rFonts w:cs="Arial"/>
                <w:sz w:val="18"/>
                <w:szCs w:val="18"/>
                <w:lang w:val="et-EE"/>
              </w:rPr>
              <w:t>) + 13,90 tCH</w:t>
            </w:r>
            <w:r w:rsidR="72428E12" w:rsidRPr="00CA2783">
              <w:rPr>
                <w:rFonts w:cs="Arial"/>
                <w:sz w:val="18"/>
                <w:szCs w:val="18"/>
                <w:vertAlign w:val="subscript"/>
                <w:lang w:val="et-EE"/>
              </w:rPr>
              <w:t>4</w:t>
            </w:r>
            <w:r w:rsidR="72428E12" w:rsidRPr="6FE02FA2">
              <w:rPr>
                <w:rFonts w:cs="Arial"/>
                <w:sz w:val="18"/>
                <w:szCs w:val="18"/>
                <w:lang w:val="et-EE"/>
              </w:rPr>
              <w:t xml:space="preserve"> (0.39 ktCO</w:t>
            </w:r>
            <w:r w:rsidR="72428E12" w:rsidRPr="00CA2783">
              <w:rPr>
                <w:rFonts w:cs="Arial"/>
                <w:sz w:val="18"/>
                <w:szCs w:val="18"/>
                <w:vertAlign w:val="subscript"/>
                <w:lang w:val="et-EE"/>
              </w:rPr>
              <w:t>2</w:t>
            </w:r>
            <w:r w:rsidR="72428E12" w:rsidRPr="6FE02FA2">
              <w:rPr>
                <w:rFonts w:cs="Arial"/>
                <w:sz w:val="18"/>
                <w:szCs w:val="18"/>
                <w:lang w:val="et-EE"/>
              </w:rPr>
              <w:t xml:space="preserve"> </w:t>
            </w:r>
            <w:proofErr w:type="spellStart"/>
            <w:r w:rsidR="72428E12" w:rsidRPr="6FE02FA2">
              <w:rPr>
                <w:rFonts w:cs="Arial"/>
                <w:sz w:val="18"/>
                <w:szCs w:val="18"/>
                <w:lang w:val="et-EE"/>
              </w:rPr>
              <w:t>ekv</w:t>
            </w:r>
            <w:proofErr w:type="spellEnd"/>
            <w:r w:rsidR="72428E12" w:rsidRPr="6FE02FA2">
              <w:rPr>
                <w:rFonts w:cs="Arial"/>
                <w:sz w:val="18"/>
                <w:szCs w:val="18"/>
                <w:lang w:val="et-EE"/>
              </w:rPr>
              <w:t>) ja 1,39 tN</w:t>
            </w:r>
            <w:r w:rsidR="72428E12" w:rsidRPr="00CA2783">
              <w:rPr>
                <w:rFonts w:cs="Arial"/>
                <w:sz w:val="18"/>
                <w:szCs w:val="18"/>
                <w:vertAlign w:val="subscript"/>
                <w:lang w:val="et-EE"/>
              </w:rPr>
              <w:t>2</w:t>
            </w:r>
            <w:r w:rsidR="72428E12" w:rsidRPr="6FE02FA2">
              <w:rPr>
                <w:rFonts w:cs="Arial"/>
                <w:sz w:val="18"/>
                <w:szCs w:val="18"/>
                <w:lang w:val="et-EE"/>
              </w:rPr>
              <w:t>O (0.37 ktCO</w:t>
            </w:r>
            <w:r w:rsidR="72428E12" w:rsidRPr="00CA2783">
              <w:rPr>
                <w:rFonts w:cs="Arial"/>
                <w:sz w:val="18"/>
                <w:szCs w:val="18"/>
                <w:vertAlign w:val="subscript"/>
                <w:lang w:val="et-EE"/>
              </w:rPr>
              <w:t>2</w:t>
            </w:r>
            <w:r w:rsidR="72428E12" w:rsidRPr="6FE02FA2">
              <w:rPr>
                <w:rFonts w:cs="Arial"/>
                <w:sz w:val="18"/>
                <w:szCs w:val="18"/>
                <w:lang w:val="et-EE"/>
              </w:rPr>
              <w:t xml:space="preserve"> </w:t>
            </w:r>
            <w:proofErr w:type="spellStart"/>
            <w:r w:rsidR="72428E12" w:rsidRPr="6FE02FA2">
              <w:rPr>
                <w:rFonts w:cs="Arial"/>
                <w:sz w:val="18"/>
                <w:szCs w:val="18"/>
                <w:lang w:val="et-EE"/>
              </w:rPr>
              <w:t>ekv</w:t>
            </w:r>
            <w:proofErr w:type="spellEnd"/>
            <w:r w:rsidR="72428E12" w:rsidRPr="6FE02FA2">
              <w:rPr>
                <w:rFonts w:cs="Arial"/>
                <w:sz w:val="18"/>
                <w:szCs w:val="18"/>
                <w:lang w:val="et-EE"/>
              </w:rPr>
              <w:t>) (CH</w:t>
            </w:r>
            <w:r w:rsidR="72428E12" w:rsidRPr="00CA2783">
              <w:rPr>
                <w:rFonts w:cs="Arial"/>
                <w:sz w:val="18"/>
                <w:szCs w:val="18"/>
                <w:vertAlign w:val="subscript"/>
                <w:lang w:val="et-EE"/>
              </w:rPr>
              <w:t>4</w:t>
            </w:r>
            <w:r w:rsidR="72428E12" w:rsidRPr="6FE02FA2">
              <w:rPr>
                <w:rFonts w:cs="Arial"/>
                <w:sz w:val="18"/>
                <w:szCs w:val="18"/>
                <w:lang w:val="et-EE"/>
              </w:rPr>
              <w:t xml:space="preserve"> ja N</w:t>
            </w:r>
            <w:r w:rsidR="72428E12" w:rsidRPr="00CA2783">
              <w:rPr>
                <w:rFonts w:cs="Arial"/>
                <w:sz w:val="18"/>
                <w:szCs w:val="18"/>
                <w:vertAlign w:val="subscript"/>
                <w:lang w:val="et-EE"/>
              </w:rPr>
              <w:t>2</w:t>
            </w:r>
            <w:r w:rsidR="72428E12" w:rsidRPr="6FE02FA2">
              <w:rPr>
                <w:rFonts w:cs="Arial"/>
                <w:sz w:val="18"/>
                <w:szCs w:val="18"/>
                <w:lang w:val="et-EE"/>
              </w:rPr>
              <w:t>O lähe</w:t>
            </w:r>
            <w:r w:rsidR="00B609F0">
              <w:rPr>
                <w:rFonts w:cs="Arial"/>
                <w:sz w:val="18"/>
                <w:szCs w:val="18"/>
                <w:lang w:val="et-EE"/>
              </w:rPr>
              <w:t>vad</w:t>
            </w:r>
            <w:r w:rsidR="72428E12" w:rsidRPr="6FE02FA2">
              <w:rPr>
                <w:rFonts w:cs="Arial"/>
                <w:sz w:val="18"/>
                <w:szCs w:val="18"/>
                <w:lang w:val="et-EE"/>
              </w:rPr>
              <w:t xml:space="preserve"> </w:t>
            </w:r>
            <w:bookmarkStart w:id="0" w:name="_Hlk138102523"/>
            <w:r w:rsidR="00294CBF">
              <w:rPr>
                <w:rFonts w:cs="Arial"/>
                <w:sz w:val="18"/>
                <w:szCs w:val="18"/>
                <w:lang w:val="et-EE"/>
              </w:rPr>
              <w:t xml:space="preserve">jõupingutuste jagamise määruse ehk </w:t>
            </w:r>
            <w:bookmarkEnd w:id="0"/>
            <w:proofErr w:type="spellStart"/>
            <w:r w:rsidR="72428E12" w:rsidRPr="6FE02FA2">
              <w:rPr>
                <w:rFonts w:cs="Arial"/>
                <w:sz w:val="18"/>
                <w:szCs w:val="18"/>
                <w:lang w:val="et-EE"/>
              </w:rPr>
              <w:t>JJMi</w:t>
            </w:r>
            <w:proofErr w:type="spellEnd"/>
            <w:r w:rsidR="72428E12" w:rsidRPr="6FE02FA2">
              <w:rPr>
                <w:rFonts w:cs="Arial"/>
                <w:sz w:val="18"/>
                <w:szCs w:val="18"/>
                <w:lang w:val="et-EE"/>
              </w:rPr>
              <w:t xml:space="preserve"> arvestusse). </w:t>
            </w:r>
            <w:r w:rsidR="75C82B12" w:rsidRPr="6FE02FA2">
              <w:rPr>
                <w:rFonts w:cs="Arial"/>
                <w:sz w:val="18"/>
                <w:szCs w:val="18"/>
                <w:lang w:val="et-EE"/>
              </w:rPr>
              <w:t>Mudelis on a</w:t>
            </w:r>
            <w:r w:rsidR="72428E12" w:rsidRPr="6FE02FA2">
              <w:rPr>
                <w:rFonts w:cs="Arial"/>
                <w:sz w:val="18"/>
                <w:szCs w:val="18"/>
                <w:lang w:val="et-EE"/>
              </w:rPr>
              <w:t>rvestatud ainult tootmisest tekkivat heitkogust</w:t>
            </w:r>
            <w:r w:rsidR="1F2BEEAA" w:rsidRPr="6FE02FA2">
              <w:rPr>
                <w:rFonts w:cs="Arial"/>
                <w:sz w:val="18"/>
                <w:szCs w:val="18"/>
                <w:lang w:val="et-EE"/>
              </w:rPr>
              <w:t>.”</w:t>
            </w:r>
            <w:r w:rsidRPr="6FE02FA2">
              <w:rPr>
                <w:rFonts w:cs="Arial"/>
                <w:sz w:val="18"/>
                <w:szCs w:val="18"/>
                <w:lang w:val="et-EE"/>
              </w:rPr>
              <w:t xml:space="preserve"> </w:t>
            </w:r>
            <w:bookmarkStart w:id="1" w:name="_Hlk138102547"/>
            <w:r w:rsidR="00694B80" w:rsidRPr="6FE02FA2">
              <w:rPr>
                <w:rFonts w:cs="Arial"/>
                <w:sz w:val="18"/>
                <w:szCs w:val="18"/>
                <w:lang w:val="et-EE"/>
              </w:rPr>
              <w:t>Rõhutame samas, et tegemist on prognoosidega, mis suure tõenäosusega ajas muutuvad</w:t>
            </w:r>
            <w:bookmarkEnd w:id="1"/>
            <w:r w:rsidR="00694B80" w:rsidRPr="6FE02FA2">
              <w:rPr>
                <w:rFonts w:cs="Arial"/>
                <w:sz w:val="18"/>
                <w:szCs w:val="18"/>
                <w:lang w:val="et-EE"/>
              </w:rPr>
              <w:t>.</w:t>
            </w:r>
          </w:p>
          <w:p w14:paraId="3F39904C" w14:textId="6B1F45DE" w:rsidR="00333095" w:rsidRPr="00FD5087" w:rsidRDefault="62BA39ED" w:rsidP="00333095">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637B5E8B">
              <w:rPr>
                <w:rFonts w:cs="Arial"/>
                <w:sz w:val="18"/>
                <w:szCs w:val="18"/>
                <w:lang w:val="et-EE"/>
              </w:rPr>
              <w:t>2035. aasta eesmärgi täitmise riski rõhutamine on tingitud sellest, et see on ainuke selge</w:t>
            </w:r>
            <w:r w:rsidR="5BAAE6D6" w:rsidRPr="637B5E8B">
              <w:rPr>
                <w:rFonts w:cs="Arial"/>
                <w:sz w:val="18"/>
                <w:szCs w:val="18"/>
                <w:lang w:val="et-EE"/>
              </w:rPr>
              <w:t xml:space="preserve"> </w:t>
            </w:r>
            <w:r w:rsidR="00694B80" w:rsidRPr="637B5E8B">
              <w:rPr>
                <w:rFonts w:cs="Arial"/>
                <w:sz w:val="18"/>
                <w:szCs w:val="18"/>
                <w:lang w:val="et-EE"/>
              </w:rPr>
              <w:t xml:space="preserve">(kuigi õiguslikult tootjatele mittesiduv) </w:t>
            </w:r>
            <w:r w:rsidRPr="637B5E8B">
              <w:rPr>
                <w:rFonts w:cs="Arial"/>
                <w:sz w:val="18"/>
                <w:szCs w:val="18"/>
                <w:lang w:val="et-EE"/>
              </w:rPr>
              <w:t xml:space="preserve">Eesti riigi numbriline KHG heite eesmärk, millega kavandatava tegevuse heidet </w:t>
            </w:r>
            <w:r w:rsidR="00694B80" w:rsidRPr="637B5E8B">
              <w:rPr>
                <w:rFonts w:cs="Arial"/>
                <w:sz w:val="18"/>
                <w:szCs w:val="18"/>
                <w:lang w:val="et-EE"/>
              </w:rPr>
              <w:t>saab</w:t>
            </w:r>
            <w:r w:rsidR="3048D1BB" w:rsidRPr="637B5E8B">
              <w:rPr>
                <w:rFonts w:cs="Arial"/>
                <w:sz w:val="18"/>
                <w:szCs w:val="18"/>
                <w:lang w:val="et-EE"/>
              </w:rPr>
              <w:t xml:space="preserve"> </w:t>
            </w:r>
            <w:r w:rsidRPr="637B5E8B">
              <w:rPr>
                <w:rFonts w:cs="Arial"/>
                <w:sz w:val="18"/>
                <w:szCs w:val="18"/>
                <w:lang w:val="et-EE"/>
              </w:rPr>
              <w:t xml:space="preserve">võrrelda. 2050. aasta kliimaneutraalsuse eesmärk </w:t>
            </w:r>
            <w:r w:rsidR="00694B80" w:rsidRPr="637B5E8B">
              <w:rPr>
                <w:rFonts w:cs="Arial"/>
                <w:sz w:val="18"/>
                <w:szCs w:val="18"/>
                <w:lang w:val="et-EE"/>
              </w:rPr>
              <w:t>on samuti selge</w:t>
            </w:r>
            <w:r w:rsidRPr="637B5E8B">
              <w:rPr>
                <w:rFonts w:cs="Arial"/>
                <w:sz w:val="18"/>
                <w:szCs w:val="18"/>
                <w:lang w:val="et-EE"/>
              </w:rPr>
              <w:t xml:space="preserve">, kuid selles osas on KMH-s </w:t>
            </w:r>
            <w:r w:rsidR="00694B80">
              <w:rPr>
                <w:rFonts w:cs="Arial"/>
                <w:sz w:val="18"/>
                <w:szCs w:val="18"/>
                <w:lang w:val="et-EE"/>
              </w:rPr>
              <w:t>üheselt</w:t>
            </w:r>
            <w:r w:rsidRPr="637B5E8B">
              <w:rPr>
                <w:rFonts w:cs="Arial"/>
                <w:sz w:val="18"/>
                <w:szCs w:val="18"/>
                <w:lang w:val="et-EE"/>
              </w:rPr>
              <w:t xml:space="preserve"> öeldud, et kui 2050. aastaks ei ole rakendatud </w:t>
            </w:r>
            <w:r w:rsidR="00694B80" w:rsidRPr="637B5E8B">
              <w:rPr>
                <w:rFonts w:cs="Arial"/>
                <w:sz w:val="18"/>
                <w:szCs w:val="18"/>
                <w:lang w:val="et-EE"/>
              </w:rPr>
              <w:t xml:space="preserve">vajalikke </w:t>
            </w:r>
            <w:r w:rsidRPr="637B5E8B">
              <w:rPr>
                <w:rFonts w:cs="Arial"/>
                <w:sz w:val="18"/>
                <w:szCs w:val="18"/>
                <w:lang w:val="et-EE"/>
              </w:rPr>
              <w:t>meetmeid</w:t>
            </w:r>
            <w:r w:rsidR="36C0E9FA" w:rsidRPr="637B5E8B">
              <w:rPr>
                <w:rFonts w:cs="Arial"/>
                <w:sz w:val="18"/>
                <w:szCs w:val="18"/>
                <w:lang w:val="et-EE"/>
              </w:rPr>
              <w:t xml:space="preserve"> </w:t>
            </w:r>
            <w:r w:rsidRPr="637B5E8B">
              <w:rPr>
                <w:rFonts w:cs="Arial"/>
                <w:sz w:val="18"/>
                <w:szCs w:val="18"/>
                <w:lang w:val="et-EE"/>
              </w:rPr>
              <w:t>kliimaneutraalsuse saavutamiseks, siis Enefit põlevkivi utmisseadmed</w:t>
            </w:r>
            <w:r w:rsidR="36C0E9FA" w:rsidRPr="637B5E8B">
              <w:rPr>
                <w:rFonts w:cs="Arial"/>
                <w:sz w:val="18"/>
                <w:szCs w:val="18"/>
                <w:lang w:val="et-EE"/>
              </w:rPr>
              <w:t xml:space="preserve"> </w:t>
            </w:r>
            <w:r w:rsidRPr="637B5E8B">
              <w:rPr>
                <w:rFonts w:cs="Arial"/>
                <w:sz w:val="18"/>
                <w:szCs w:val="18"/>
                <w:lang w:val="et-EE"/>
              </w:rPr>
              <w:t>lõpetavad</w:t>
            </w:r>
            <w:r w:rsidR="36C0E9FA" w:rsidRPr="637B5E8B">
              <w:rPr>
                <w:rFonts w:cs="Arial"/>
                <w:sz w:val="18"/>
                <w:szCs w:val="18"/>
                <w:lang w:val="et-EE"/>
              </w:rPr>
              <w:t xml:space="preserve"> </w:t>
            </w:r>
            <w:r w:rsidRPr="637B5E8B">
              <w:rPr>
                <w:rFonts w:cs="Arial"/>
                <w:sz w:val="18"/>
                <w:szCs w:val="18"/>
                <w:lang w:val="et-EE"/>
              </w:rPr>
              <w:t xml:space="preserve">tegevuse. </w:t>
            </w:r>
          </w:p>
          <w:p w14:paraId="132EE168" w14:textId="46AD173D" w:rsidR="00333095" w:rsidRPr="00FD5087" w:rsidRDefault="62BA39ED" w:rsidP="00333095">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6FE02FA2">
              <w:rPr>
                <w:rFonts w:cs="Arial"/>
                <w:sz w:val="18"/>
                <w:szCs w:val="18"/>
                <w:lang w:val="et-EE"/>
              </w:rPr>
              <w:t>Niisiis ei ole KMH koostajatel praeguste teadmiste juures võimalik kindlalt väita</w:t>
            </w:r>
            <w:r w:rsidR="004E29C3">
              <w:rPr>
                <w:rFonts w:cs="Arial"/>
                <w:sz w:val="18"/>
                <w:szCs w:val="18"/>
                <w:lang w:val="et-EE"/>
              </w:rPr>
              <w:t>,</w:t>
            </w:r>
            <w:r w:rsidRPr="6FE02FA2">
              <w:rPr>
                <w:rFonts w:cs="Arial"/>
                <w:sz w:val="18"/>
                <w:szCs w:val="18"/>
                <w:lang w:val="et-EE"/>
              </w:rPr>
              <w:t xml:space="preserve"> kas Enefit280-2 rajamise ja käitamise korral Eesti saavutab kindlatel </w:t>
            </w:r>
            <w:r w:rsidRPr="6FE02FA2">
              <w:rPr>
                <w:rFonts w:cs="Arial"/>
                <w:sz w:val="18"/>
                <w:szCs w:val="18"/>
                <w:lang w:val="et-EE"/>
              </w:rPr>
              <w:lastRenderedPageBreak/>
              <w:t xml:space="preserve">ajahetkedel (nt 2030, 2035, 2040 või 2050) </w:t>
            </w:r>
            <w:r w:rsidR="007C6D9E">
              <w:rPr>
                <w:rFonts w:cs="Arial"/>
                <w:sz w:val="18"/>
                <w:szCs w:val="18"/>
                <w:lang w:val="et-EE"/>
              </w:rPr>
              <w:t xml:space="preserve">riiklike </w:t>
            </w:r>
            <w:r w:rsidR="00CA2783">
              <w:rPr>
                <w:rFonts w:cs="Arial"/>
                <w:sz w:val="18"/>
                <w:szCs w:val="18"/>
                <w:lang w:val="et-EE"/>
              </w:rPr>
              <w:t xml:space="preserve">eesmärkidena seatud </w:t>
            </w:r>
            <w:r w:rsidRPr="6FE02FA2">
              <w:rPr>
                <w:rFonts w:cs="Arial"/>
                <w:sz w:val="18"/>
                <w:szCs w:val="18"/>
                <w:lang w:val="et-EE"/>
              </w:rPr>
              <w:t>heitetasemed või mitte, kuid selgelt on välja toodud riskid ning tehase</w:t>
            </w:r>
            <w:r w:rsidR="727DF97F" w:rsidRPr="6FE02FA2">
              <w:rPr>
                <w:rFonts w:cs="Arial"/>
                <w:sz w:val="18"/>
                <w:szCs w:val="18"/>
                <w:lang w:val="et-EE"/>
              </w:rPr>
              <w:t xml:space="preserve"> </w:t>
            </w:r>
            <w:r w:rsidR="00694B80" w:rsidRPr="6FE02FA2">
              <w:rPr>
                <w:rFonts w:cs="Arial"/>
                <w:sz w:val="18"/>
                <w:szCs w:val="18"/>
                <w:lang w:val="et-EE"/>
              </w:rPr>
              <w:t xml:space="preserve">võimalik sulgemine 2050. aastal. </w:t>
            </w:r>
            <w:r w:rsidR="00CA2783">
              <w:rPr>
                <w:rFonts w:cs="Arial"/>
                <w:sz w:val="18"/>
                <w:szCs w:val="18"/>
                <w:lang w:val="et-EE"/>
              </w:rPr>
              <w:t>L</w:t>
            </w:r>
            <w:r w:rsidR="00694B80" w:rsidRPr="6FE02FA2">
              <w:rPr>
                <w:rFonts w:cs="Arial"/>
                <w:sz w:val="18"/>
                <w:szCs w:val="18"/>
                <w:lang w:val="et-EE"/>
              </w:rPr>
              <w:t>õpliku hinnangu selles osas, kas need riskid on aktsepteeritavad ja maandatavad saab teha ainult riik ja seda kõikide sektorite panust arvesse võttes</w:t>
            </w:r>
            <w:r w:rsidRPr="6FE02FA2">
              <w:rPr>
                <w:rFonts w:cs="Arial"/>
                <w:sz w:val="18"/>
                <w:szCs w:val="18"/>
                <w:lang w:val="et-EE"/>
              </w:rPr>
              <w:t>.</w:t>
            </w:r>
          </w:p>
          <w:p w14:paraId="3400A5E3" w14:textId="65C7DEAA" w:rsidR="00757F8B" w:rsidRPr="00FD5087" w:rsidRDefault="00460F25" w:rsidP="00333095">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694C1E56">
              <w:rPr>
                <w:rFonts w:cs="Arial"/>
                <w:sz w:val="18"/>
                <w:szCs w:val="18"/>
                <w:lang w:val="et-EE"/>
              </w:rPr>
              <w:t>Antud KMH-s on valitud lähenemine, kus mõju olulisust hinnatakse läbi selle, kuidas tegevus mõjutab riiklike kliimaeesmärkide saavutamist,</w:t>
            </w:r>
            <w:r>
              <w:rPr>
                <w:rFonts w:cs="Arial"/>
                <w:sz w:val="18"/>
                <w:szCs w:val="18"/>
                <w:lang w:val="et-EE"/>
              </w:rPr>
              <w:t xml:space="preserve"> </w:t>
            </w:r>
            <w:r w:rsidR="338BF6FE" w:rsidRPr="694C1E56">
              <w:rPr>
                <w:rFonts w:cs="Arial"/>
                <w:sz w:val="18"/>
                <w:szCs w:val="18"/>
                <w:lang w:val="et-EE"/>
              </w:rPr>
              <w:t>“</w:t>
            </w:r>
            <w:r w:rsidR="62BA39ED" w:rsidRPr="694C1E56">
              <w:rPr>
                <w:rFonts w:cs="Arial"/>
                <w:sz w:val="18"/>
                <w:szCs w:val="18"/>
                <w:lang w:val="et-EE"/>
              </w:rPr>
              <w:t>Heite ekspordi</w:t>
            </w:r>
            <w:r w:rsidR="79800EBA" w:rsidRPr="694C1E56">
              <w:rPr>
                <w:rFonts w:cs="Arial"/>
                <w:sz w:val="18"/>
                <w:szCs w:val="18"/>
                <w:lang w:val="et-EE"/>
              </w:rPr>
              <w:t xml:space="preserve">” </w:t>
            </w:r>
            <w:r w:rsidR="00694B80" w:rsidRPr="694C1E56">
              <w:rPr>
                <w:rFonts w:cs="Arial"/>
                <w:sz w:val="18"/>
                <w:szCs w:val="18"/>
                <w:lang w:val="et-EE"/>
              </w:rPr>
              <w:t xml:space="preserve">mõiste ei ole </w:t>
            </w:r>
            <w:r w:rsidR="00CA2783" w:rsidRPr="694C1E56">
              <w:rPr>
                <w:rFonts w:cs="Arial"/>
                <w:sz w:val="18"/>
                <w:szCs w:val="18"/>
                <w:lang w:val="et-EE"/>
              </w:rPr>
              <w:t>E</w:t>
            </w:r>
            <w:r w:rsidR="00694B80" w:rsidRPr="694C1E56">
              <w:rPr>
                <w:rFonts w:cs="Arial"/>
                <w:sz w:val="18"/>
                <w:szCs w:val="18"/>
                <w:lang w:val="et-EE"/>
              </w:rPr>
              <w:t xml:space="preserve">esti ega </w:t>
            </w:r>
            <w:r w:rsidR="00CA2783" w:rsidRPr="694C1E56">
              <w:rPr>
                <w:rFonts w:cs="Arial"/>
                <w:sz w:val="18"/>
                <w:szCs w:val="18"/>
                <w:lang w:val="et-EE"/>
              </w:rPr>
              <w:t>EL</w:t>
            </w:r>
            <w:r w:rsidR="00694B80" w:rsidRPr="694C1E56">
              <w:rPr>
                <w:rFonts w:cs="Arial"/>
                <w:sz w:val="18"/>
                <w:szCs w:val="18"/>
                <w:lang w:val="et-EE"/>
              </w:rPr>
              <w:t xml:space="preserve">-i kehtivas õiguses täna </w:t>
            </w:r>
            <w:r w:rsidR="007C6D9E">
              <w:rPr>
                <w:rFonts w:cs="Arial"/>
                <w:sz w:val="18"/>
                <w:szCs w:val="18"/>
                <w:lang w:val="et-EE"/>
              </w:rPr>
              <w:t>mää</w:t>
            </w:r>
            <w:r w:rsidR="0070484E">
              <w:rPr>
                <w:rFonts w:cs="Arial"/>
                <w:sz w:val="18"/>
                <w:szCs w:val="18"/>
                <w:lang w:val="et-EE"/>
              </w:rPr>
              <w:t>r</w:t>
            </w:r>
            <w:r w:rsidR="007C6D9E">
              <w:rPr>
                <w:rFonts w:cs="Arial"/>
                <w:sz w:val="18"/>
                <w:szCs w:val="18"/>
                <w:lang w:val="et-EE"/>
              </w:rPr>
              <w:t>atle</w:t>
            </w:r>
            <w:r w:rsidR="00694B80" w:rsidRPr="694C1E56">
              <w:rPr>
                <w:rFonts w:cs="Arial"/>
                <w:sz w:val="18"/>
                <w:szCs w:val="18"/>
                <w:lang w:val="et-EE"/>
              </w:rPr>
              <w:t>tud, mistõttu ei ole võimalik sellega seonduvat aruandes ka arvesse võtta</w:t>
            </w:r>
            <w:r w:rsidR="62BA39ED" w:rsidRPr="694C1E56">
              <w:rPr>
                <w:rFonts w:cs="Arial"/>
                <w:sz w:val="18"/>
                <w:szCs w:val="18"/>
                <w:lang w:val="et-EE"/>
              </w:rPr>
              <w:t>. Samas on käesolevas KMH-s toodu</w:t>
            </w:r>
            <w:r w:rsidRPr="694C1E56">
              <w:rPr>
                <w:rFonts w:cs="Arial"/>
                <w:sz w:val="18"/>
                <w:szCs w:val="18"/>
                <w:lang w:val="et-EE"/>
              </w:rPr>
              <w:t>d</w:t>
            </w:r>
            <w:r w:rsidR="62BA39ED" w:rsidRPr="694C1E56">
              <w:rPr>
                <w:rFonts w:cs="Arial"/>
                <w:sz w:val="18"/>
                <w:szCs w:val="18"/>
                <w:lang w:val="et-EE"/>
              </w:rPr>
              <w:t xml:space="preserve"> andmete põhjal võimalik välja arvutada ja arvesse võtta ka toodete kasutamisega seotud kliimamõju, isegi kui see ei kajastu Eesti riiklikus statistikas.</w:t>
            </w:r>
            <w:r>
              <w:rPr>
                <w:rFonts w:cs="Arial"/>
                <w:sz w:val="18"/>
                <w:szCs w:val="18"/>
                <w:lang w:val="et-EE"/>
              </w:rPr>
              <w:t xml:space="preserve"> Kuid vastavushinnangu andmisel tuleb omavahel võrrelda samadel alustel koostatud riiklikku eesmärki ja kavandatava tegevuse heidet.</w:t>
            </w:r>
          </w:p>
        </w:tc>
      </w:tr>
      <w:tr w:rsidR="00E16F5F" w:rsidRPr="00FD5087" w14:paraId="138816DB"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17569315" w14:textId="77777777" w:rsidR="00161490" w:rsidRPr="00FD5087" w:rsidRDefault="008E62EB" w:rsidP="008E62EB">
            <w:pPr>
              <w:pStyle w:val="Teksttabel"/>
              <w:spacing w:before="144"/>
              <w:rPr>
                <w:bCs w:val="0"/>
                <w:lang w:val="et-EE"/>
              </w:rPr>
            </w:pPr>
            <w:r w:rsidRPr="00FD5087">
              <w:rPr>
                <w:lang w:val="et-EE"/>
              </w:rPr>
              <w:lastRenderedPageBreak/>
              <w:t xml:space="preserve">2b. KMH aruandes (lk 13) ning ka </w:t>
            </w:r>
            <w:proofErr w:type="spellStart"/>
            <w:r w:rsidRPr="00FD5087">
              <w:rPr>
                <w:lang w:val="et-EE"/>
              </w:rPr>
              <w:t>Auvere</w:t>
            </w:r>
            <w:proofErr w:type="spellEnd"/>
            <w:r w:rsidRPr="00FD5087">
              <w:rPr>
                <w:lang w:val="et-EE"/>
              </w:rPr>
              <w:t xml:space="preserve"> KSH aruandes (</w:t>
            </w:r>
            <w:proofErr w:type="spellStart"/>
            <w:r w:rsidRPr="00FD5087">
              <w:rPr>
                <w:lang w:val="et-EE"/>
              </w:rPr>
              <w:t>ptk</w:t>
            </w:r>
            <w:proofErr w:type="spellEnd"/>
            <w:r w:rsidRPr="00FD5087">
              <w:rPr>
                <w:lang w:val="et-EE"/>
              </w:rPr>
              <w:t xml:space="preserve"> 4.3.1) tuginetakse „</w:t>
            </w:r>
            <w:r w:rsidRPr="00FD5087">
              <w:rPr>
                <w:b/>
                <w:bCs w:val="0"/>
                <w:lang w:val="et-EE"/>
              </w:rPr>
              <w:t>Kliimapoliitika põhialused aastani 2050</w:t>
            </w:r>
            <w:r w:rsidRPr="00FD5087">
              <w:rPr>
                <w:lang w:val="et-EE"/>
              </w:rPr>
              <w:t>“ (KPP) aegunud redaktsioonile. 8. veebruaril 2023 võttis Riigikogu vastu KPP muudatused, millega muudeti mh punkte 1 ja 2.</w:t>
            </w:r>
            <w:r w:rsidRPr="00FD5087">
              <w:rPr>
                <w:rStyle w:val="FootnoteReference"/>
                <w:lang w:val="et-EE"/>
              </w:rPr>
              <w:footnoteReference w:id="3"/>
            </w:r>
            <w:r w:rsidRPr="00FD5087">
              <w:rPr>
                <w:lang w:val="et-EE"/>
              </w:rPr>
              <w:t xml:space="preserve"> Muudatuste kohaselt ei ole enam Eesti eesmärk vähendada 2050. aastaks KHG heidet 80% võrra võrreldes 1990. aasta tasemega (nagu seisab KMH aruandes lk 13), vaid saavutada kliimaneutraalsus ehk kasvuhoonegaaside netonullheide. Sama eesmärk seati ka juba Eesti pikaajalises arengustrateegias “</w:t>
            </w:r>
            <w:r w:rsidRPr="00FD5087">
              <w:rPr>
                <w:b/>
                <w:bCs w:val="0"/>
                <w:lang w:val="et-EE"/>
              </w:rPr>
              <w:t>Eesti 2035</w:t>
            </w:r>
            <w:r w:rsidRPr="00FD5087">
              <w:rPr>
                <w:lang w:val="et-EE"/>
              </w:rPr>
              <w:t>”. Lisaks tunnistati kehtetuks KPP 11. punkt</w:t>
            </w:r>
            <w:r w:rsidRPr="00FD5087">
              <w:rPr>
                <w:rStyle w:val="FootnoteReference"/>
                <w:lang w:val="et-EE"/>
              </w:rPr>
              <w:footnoteReference w:id="4"/>
            </w:r>
            <w:r w:rsidRPr="00FD5087">
              <w:rPr>
                <w:lang w:val="et-EE"/>
              </w:rPr>
              <w:t xml:space="preserve">, millele viidati veel </w:t>
            </w:r>
            <w:proofErr w:type="spellStart"/>
            <w:r w:rsidRPr="00FD5087">
              <w:rPr>
                <w:lang w:val="et-EE"/>
              </w:rPr>
              <w:t>Auvere</w:t>
            </w:r>
            <w:proofErr w:type="spellEnd"/>
            <w:r w:rsidRPr="00FD5087">
              <w:rPr>
                <w:lang w:val="et-EE"/>
              </w:rPr>
              <w:t xml:space="preserve"> KSH aruandes ning KMH programmis. Kuigi uute poliitiliste suundade ja eesmärkide seadmine ning nende alusel strateegiliste arengudokumentide koostamine ning vastuvõtmine ei muuda kehtetuks varem antud hinnanguid, tuleb KMH raames anda siiski </w:t>
            </w:r>
            <w:r w:rsidRPr="00FD5087">
              <w:rPr>
                <w:u w:val="single"/>
                <w:lang w:val="et-EE"/>
              </w:rPr>
              <w:t>ajakohane</w:t>
            </w:r>
            <w:r w:rsidRPr="00FD5087">
              <w:rPr>
                <w:lang w:val="et-EE"/>
              </w:rPr>
              <w:t xml:space="preserve"> hinnang tegevusega kaasnevale mõjule, sh kooskõlale </w:t>
            </w:r>
            <w:r w:rsidRPr="00FD5087">
              <w:rPr>
                <w:u w:val="single"/>
                <w:lang w:val="et-EE"/>
              </w:rPr>
              <w:t xml:space="preserve">kehtivate </w:t>
            </w:r>
            <w:r w:rsidRPr="00FD5087">
              <w:rPr>
                <w:lang w:val="et-EE"/>
              </w:rPr>
              <w:t xml:space="preserve">arengudokumentidega, et loa andja saaks tugineda aja- ning asjakohasele teabele. Nagu on märgitud KMH </w:t>
            </w:r>
            <w:r w:rsidRPr="00FD5087">
              <w:rPr>
                <w:lang w:val="et-EE"/>
              </w:rPr>
              <w:lastRenderedPageBreak/>
              <w:t xml:space="preserve">programmis (lk 15) ning KMH aruandes (lk 14), ajakohastatakse KMH käigus neid osi, mis puudutavad vahepeal oluliselt muudetud arengudokumente. </w:t>
            </w:r>
            <w:r w:rsidRPr="00FD5087">
              <w:rPr>
                <w:b/>
                <w:bCs w:val="0"/>
                <w:lang w:val="et-EE"/>
              </w:rPr>
              <w:t>Palume viia aruanne kooskõlla kehtiva KPP-</w:t>
            </w:r>
            <w:proofErr w:type="spellStart"/>
            <w:r w:rsidRPr="00FD5087">
              <w:rPr>
                <w:b/>
                <w:bCs w:val="0"/>
                <w:lang w:val="et-EE"/>
              </w:rPr>
              <w:t>ga</w:t>
            </w:r>
            <w:proofErr w:type="spellEnd"/>
            <w:r w:rsidRPr="00FD5087">
              <w:rPr>
                <w:b/>
                <w:bCs w:val="0"/>
                <w:lang w:val="et-EE"/>
              </w:rPr>
              <w:t xml:space="preserve"> ja selgitada selles, kas ja kuidas mõjutab kavandatav õlitehas kliimaneutraalsuseni jõudmise eesmärki</w:t>
            </w:r>
            <w:r w:rsidRPr="00FD5087">
              <w:rPr>
                <w:lang w:val="et-EE"/>
              </w:rPr>
              <w:t xml:space="preserve">, sh ka stsenaariumi korral, kui Enefit-280 seadmele ei ole võimalik teha täiendust, mis võimaldaks selles toota jäätmetest keemiatööstuse tooraineid (lk 13). </w:t>
            </w:r>
          </w:p>
          <w:p w14:paraId="56AB346F" w14:textId="040A39C3" w:rsidR="00E16F5F" w:rsidRPr="00FD5087" w:rsidRDefault="008E62EB" w:rsidP="008E62EB">
            <w:pPr>
              <w:pStyle w:val="Teksttabel"/>
              <w:spacing w:before="144"/>
              <w:rPr>
                <w:lang w:val="et-EE"/>
              </w:rPr>
            </w:pPr>
            <w:r w:rsidRPr="00FD5087">
              <w:rPr>
                <w:b/>
                <w:bCs w:val="0"/>
                <w:lang w:val="et-EE"/>
              </w:rPr>
              <w:t>Sealhulgas palume tuua välja, et õlitehase käitamine suurendab riski, et Eesti ei saavuta 2050. aastaks kliimaneutraalsust</w:t>
            </w:r>
            <w:r w:rsidRPr="00FD5087">
              <w:rPr>
                <w:lang w:val="et-EE"/>
              </w:rPr>
              <w:t>.</w:t>
            </w:r>
            <w:r w:rsidRPr="00FD5087">
              <w:rPr>
                <w:rStyle w:val="FootnoteReference"/>
                <w:lang w:val="et-EE"/>
              </w:rPr>
              <w:footnoteReference w:id="5"/>
            </w:r>
            <w:r w:rsidRPr="00FD5087">
              <w:rPr>
                <w:lang w:val="et-EE"/>
              </w:rPr>
              <w:t xml:space="preserve"> </w:t>
            </w:r>
          </w:p>
        </w:tc>
        <w:tc>
          <w:tcPr>
            <w:tcW w:w="7377" w:type="dxa"/>
            <w:shd w:val="clear" w:color="auto" w:fill="FFFFFF" w:themeFill="background1"/>
            <w:vAlign w:val="top"/>
          </w:tcPr>
          <w:p w14:paraId="0CB479EA" w14:textId="3FB600F1" w:rsidR="00CA3B6E" w:rsidRDefault="00CA3B6E" w:rsidP="00333095">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lastRenderedPageBreak/>
              <w:t xml:space="preserve">KMH aruande parema loetavuse huvides esitatakse </w:t>
            </w:r>
            <w:proofErr w:type="spellStart"/>
            <w:r>
              <w:rPr>
                <w:rFonts w:cs="Arial"/>
                <w:sz w:val="18"/>
                <w:szCs w:val="18"/>
                <w:lang w:val="et-EE"/>
              </w:rPr>
              <w:t>ptk</w:t>
            </w:r>
            <w:proofErr w:type="spellEnd"/>
            <w:r>
              <w:rPr>
                <w:rFonts w:cs="Arial"/>
                <w:sz w:val="18"/>
                <w:szCs w:val="18"/>
                <w:lang w:val="et-EE"/>
              </w:rPr>
              <w:t xml:space="preserve"> 3 terviklik kohalduvate strateegiliste dokumentide peatükk</w:t>
            </w:r>
            <w:r w:rsidR="00354A4F">
              <w:rPr>
                <w:rFonts w:cs="Arial"/>
                <w:sz w:val="18"/>
                <w:szCs w:val="18"/>
                <w:lang w:val="et-EE"/>
              </w:rPr>
              <w:t>, st koondatakse programmis toodu</w:t>
            </w:r>
            <w:r w:rsidR="007C6D9E">
              <w:rPr>
                <w:rFonts w:cs="Arial"/>
                <w:sz w:val="18"/>
                <w:szCs w:val="18"/>
                <w:lang w:val="et-EE"/>
              </w:rPr>
              <w:t>d asjakohased dokumendid</w:t>
            </w:r>
            <w:r w:rsidR="00354A4F">
              <w:rPr>
                <w:rFonts w:cs="Arial"/>
                <w:sz w:val="18"/>
                <w:szCs w:val="18"/>
                <w:lang w:val="et-EE"/>
              </w:rPr>
              <w:t xml:space="preserve"> ja hilisemalt tehtud täiendused. Selle koostamisel jälgitakse, et erinevate dokumentide vahel ei tekiks ühe ja sama teema kajastamisel vastuolusid.</w:t>
            </w:r>
            <w:r>
              <w:rPr>
                <w:rFonts w:cs="Arial"/>
                <w:sz w:val="18"/>
                <w:szCs w:val="18"/>
                <w:lang w:val="et-EE"/>
              </w:rPr>
              <w:t xml:space="preserve"> </w:t>
            </w:r>
            <w:proofErr w:type="spellStart"/>
            <w:r w:rsidR="00F92950">
              <w:rPr>
                <w:rFonts w:cs="Arial"/>
                <w:sz w:val="18"/>
                <w:szCs w:val="18"/>
                <w:lang w:val="et-EE"/>
              </w:rPr>
              <w:t>Auvere</w:t>
            </w:r>
            <w:proofErr w:type="spellEnd"/>
            <w:r w:rsidR="00F92950">
              <w:rPr>
                <w:rFonts w:cs="Arial"/>
                <w:sz w:val="18"/>
                <w:szCs w:val="18"/>
                <w:lang w:val="et-EE"/>
              </w:rPr>
              <w:t xml:space="preserve"> KSH aruande osas märgime, et heakskiitmise / nõuetele vastavaks tunnistamise järgselt keskkonnamõju hindamise aruannet enam ei muudeta.</w:t>
            </w:r>
            <w:r>
              <w:rPr>
                <w:rFonts w:cs="Arial"/>
                <w:sz w:val="18"/>
                <w:szCs w:val="18"/>
                <w:lang w:val="et-EE"/>
              </w:rPr>
              <w:t xml:space="preserve">  </w:t>
            </w:r>
          </w:p>
          <w:p w14:paraId="3947FC71" w14:textId="29ABA46D" w:rsidR="00354A4F" w:rsidRPr="00FD5087" w:rsidRDefault="00354A4F" w:rsidP="00333095">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2050. aasta k</w:t>
            </w:r>
            <w:r w:rsidR="00333095" w:rsidRPr="00FD5087">
              <w:rPr>
                <w:rFonts w:cs="Arial"/>
                <w:sz w:val="18"/>
                <w:szCs w:val="18"/>
                <w:lang w:val="et-EE"/>
              </w:rPr>
              <w:t xml:space="preserve">liimaeesmärkidele vastavuse osas on vastatud eelmises punktis. Juhul kui Enefit-280 seadmele </w:t>
            </w:r>
            <w:r w:rsidR="001E661B">
              <w:rPr>
                <w:rFonts w:cs="Arial"/>
                <w:sz w:val="18"/>
                <w:szCs w:val="18"/>
                <w:lang w:val="et-EE"/>
              </w:rPr>
              <w:t xml:space="preserve">ei </w:t>
            </w:r>
            <w:r w:rsidR="00333095" w:rsidRPr="00FD5087">
              <w:rPr>
                <w:rFonts w:cs="Arial"/>
                <w:sz w:val="18"/>
                <w:szCs w:val="18"/>
                <w:lang w:val="et-EE"/>
              </w:rPr>
              <w:t>tehta õigeaegselt keemiatööstusele üleminekuks vajalike täiendusi, võib vajalikuks osutuda tehase sulgemine. Kuna tegemist on riigile kuuluva ettevõttega, siis saab riik, läbi omanike ootuste seadmise, seda üleminekut ise suunata.</w:t>
            </w:r>
          </w:p>
          <w:p w14:paraId="02851C64" w14:textId="3430C756" w:rsidR="00333095" w:rsidRPr="00FD5087" w:rsidRDefault="00354A4F" w:rsidP="00333095">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 xml:space="preserve">Kuid </w:t>
            </w:r>
            <w:r w:rsidR="00333095" w:rsidRPr="00FD5087">
              <w:rPr>
                <w:rFonts w:cs="Arial"/>
                <w:sz w:val="18"/>
                <w:szCs w:val="18"/>
                <w:lang w:val="et-EE"/>
              </w:rPr>
              <w:t xml:space="preserve">KMH aruandes on </w:t>
            </w:r>
            <w:proofErr w:type="spellStart"/>
            <w:r w:rsidR="00F92950">
              <w:rPr>
                <w:rFonts w:cs="Arial"/>
                <w:sz w:val="18"/>
                <w:szCs w:val="18"/>
                <w:lang w:val="et-EE"/>
              </w:rPr>
              <w:t>ptk</w:t>
            </w:r>
            <w:proofErr w:type="spellEnd"/>
            <w:r w:rsidR="00F92950">
              <w:rPr>
                <w:rFonts w:cs="Arial"/>
                <w:sz w:val="18"/>
                <w:szCs w:val="18"/>
                <w:lang w:val="et-EE"/>
              </w:rPr>
              <w:t xml:space="preserve"> 4.1 </w:t>
            </w:r>
            <w:r w:rsidR="00333095" w:rsidRPr="00FD5087">
              <w:rPr>
                <w:rFonts w:cs="Arial"/>
                <w:sz w:val="18"/>
                <w:szCs w:val="18"/>
                <w:lang w:val="et-EE"/>
              </w:rPr>
              <w:t xml:space="preserve">välja toodud palju varasem risk – aasta 2035. eesmärkide saavutamisele (mis on otsene ja väga tähtis vaheetapp 2050. aasta eesmärgi saavutamisel): „Samas võib siiski olla risk, et kavandatava tehasega </w:t>
            </w:r>
            <w:r w:rsidR="00333095" w:rsidRPr="00FD5087">
              <w:rPr>
                <w:rFonts w:cs="Arial"/>
                <w:sz w:val="18"/>
                <w:szCs w:val="18"/>
                <w:lang w:val="et-EE"/>
              </w:rPr>
              <w:lastRenderedPageBreak/>
              <w:t>lisanduv KHG heide raskendab või isegi takistab strateegias „Eesti 2035“ seatud netoheite 8 mln t CO</w:t>
            </w:r>
            <w:r w:rsidR="00333095" w:rsidRPr="00354A4F">
              <w:rPr>
                <w:rFonts w:cs="Arial"/>
                <w:sz w:val="18"/>
                <w:szCs w:val="18"/>
                <w:vertAlign w:val="subscript"/>
                <w:lang w:val="et-EE"/>
              </w:rPr>
              <w:t>2</w:t>
            </w:r>
            <w:r w:rsidR="00333095" w:rsidRPr="00FD5087">
              <w:rPr>
                <w:rFonts w:cs="Arial"/>
                <w:sz w:val="18"/>
                <w:szCs w:val="18"/>
                <w:lang w:val="et-EE"/>
              </w:rPr>
              <w:t xml:space="preserve"> saavutamist. Seda riski tuleb hinnata Eesti kliimapoliitika ja strateegia „Eesti 2035“ elluviimise eest vastutavatel osapooltel võttes arvesse kõikide majandussektorite panust KHG emissioonide tekkesse ja selle edasisse vähendamisesse ning anda omapoolne hinnang, kas ja/või kuidas võivad käesolevas aruandes kirjeldatud Enefit280-2 kaasnevad KHG emissioonid seatud eesmärkide elluviimist mõjutada, sh arvestades võimalike leevendavate meetmete rakendamist (nt uttegaaside </w:t>
            </w:r>
            <w:proofErr w:type="spellStart"/>
            <w:r w:rsidR="00333095" w:rsidRPr="00FD5087">
              <w:rPr>
                <w:rFonts w:cs="Arial"/>
                <w:sz w:val="18"/>
                <w:szCs w:val="18"/>
                <w:lang w:val="et-EE"/>
              </w:rPr>
              <w:t>väärindamine</w:t>
            </w:r>
            <w:proofErr w:type="spellEnd"/>
            <w:r w:rsidR="00333095" w:rsidRPr="00FD5087">
              <w:rPr>
                <w:rFonts w:cs="Arial"/>
                <w:sz w:val="18"/>
                <w:szCs w:val="18"/>
                <w:lang w:val="et-EE"/>
              </w:rPr>
              <w:t xml:space="preserve"> muudeks toodeteks).”</w:t>
            </w:r>
            <w:r w:rsidR="009C5A71">
              <w:rPr>
                <w:rFonts w:cs="Arial"/>
                <w:sz w:val="18"/>
                <w:szCs w:val="18"/>
                <w:lang w:val="et-EE"/>
              </w:rPr>
              <w:t xml:space="preserve"> </w:t>
            </w:r>
            <w:r w:rsidR="2BF312F6" w:rsidRPr="603C91B3">
              <w:rPr>
                <w:rFonts w:cs="Arial"/>
                <w:sz w:val="18"/>
                <w:szCs w:val="18"/>
                <w:lang w:val="et-EE"/>
              </w:rPr>
              <w:t>Lisaks eeltoodud lõigu lõppu lisatud täiendus vastavalt punktile 2</w:t>
            </w:r>
            <w:r w:rsidR="009C5A71">
              <w:rPr>
                <w:rFonts w:cs="Arial"/>
                <w:sz w:val="18"/>
                <w:szCs w:val="18"/>
                <w:lang w:val="et-EE"/>
              </w:rPr>
              <w:t xml:space="preserve">h (lisatud tekstilõik kajastus ka punkti 2a vastuses).  </w:t>
            </w:r>
          </w:p>
          <w:p w14:paraId="37475A46" w14:textId="1D32E4F0" w:rsidR="00333095" w:rsidRPr="00FD5087" w:rsidRDefault="00333095" w:rsidP="00333095">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637B5E8B">
              <w:rPr>
                <w:rFonts w:cs="Arial"/>
                <w:sz w:val="18"/>
                <w:szCs w:val="18"/>
                <w:lang w:val="et-EE"/>
              </w:rPr>
              <w:t xml:space="preserve">2050. aasta kliimaneutraalsuse eesmärgi osas on KMH-s väga selgelt öeldud, et kui 2050. aastaks ei ole rakendatud </w:t>
            </w:r>
            <w:r w:rsidR="00F92950" w:rsidRPr="637B5E8B">
              <w:rPr>
                <w:rFonts w:cs="Arial"/>
                <w:sz w:val="18"/>
                <w:szCs w:val="18"/>
                <w:lang w:val="et-EE"/>
              </w:rPr>
              <w:t>vajalikke</w:t>
            </w:r>
            <w:r w:rsidRPr="637B5E8B">
              <w:rPr>
                <w:rFonts w:cs="Arial"/>
                <w:sz w:val="18"/>
                <w:szCs w:val="18"/>
                <w:lang w:val="et-EE"/>
              </w:rPr>
              <w:t xml:space="preserve"> meetmeid kliimaneutraalsuse saavutamiseks, siis Enefit põlevkivi utmisseadmed lõpetavad tegevuse.</w:t>
            </w:r>
          </w:p>
          <w:p w14:paraId="010763B0" w14:textId="042B0255" w:rsidR="00333095" w:rsidRPr="00FD5087" w:rsidRDefault="00F92950" w:rsidP="00333095">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 xml:space="preserve">Eeltoodust tuleb järeldada, et KMH aruande hinnangutes ja järeldustes on kliimaeesmärkide saavutamise riskid piisavalt kirjeldatud ja selles osa puudub aruande </w:t>
            </w:r>
            <w:r w:rsidR="009C5A71">
              <w:rPr>
                <w:rFonts w:cs="Arial"/>
                <w:sz w:val="18"/>
                <w:szCs w:val="18"/>
                <w:lang w:val="et-EE"/>
              </w:rPr>
              <w:t xml:space="preserve">põhjalikumaks </w:t>
            </w:r>
            <w:r>
              <w:rPr>
                <w:rFonts w:cs="Arial"/>
                <w:sz w:val="18"/>
                <w:szCs w:val="18"/>
                <w:lang w:val="et-EE"/>
              </w:rPr>
              <w:t xml:space="preserve">täiendamiseks vajadus. </w:t>
            </w:r>
          </w:p>
        </w:tc>
      </w:tr>
      <w:tr w:rsidR="0042043A" w:rsidRPr="00FD5087" w14:paraId="3D70B3F1"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3C5262F9" w14:textId="6864C1CA" w:rsidR="0042043A" w:rsidRPr="00FD5087" w:rsidRDefault="008E62EB" w:rsidP="008E62EB">
            <w:pPr>
              <w:spacing w:beforeLines="60" w:before="144"/>
              <w:rPr>
                <w:rFonts w:cs="Arial"/>
                <w:sz w:val="18"/>
                <w:szCs w:val="18"/>
                <w:lang w:val="et-EE"/>
              </w:rPr>
            </w:pPr>
            <w:r w:rsidRPr="00FD5087">
              <w:rPr>
                <w:rFonts w:cs="Arial"/>
                <w:sz w:val="18"/>
                <w:szCs w:val="18"/>
                <w:lang w:val="et-EE"/>
              </w:rPr>
              <w:lastRenderedPageBreak/>
              <w:t>2c</w:t>
            </w:r>
            <w:r w:rsidR="000456F3" w:rsidRPr="00FD5087">
              <w:rPr>
                <w:rFonts w:cs="Arial"/>
                <w:sz w:val="18"/>
                <w:szCs w:val="18"/>
                <w:lang w:val="et-EE"/>
              </w:rPr>
              <w:t>.</w:t>
            </w:r>
            <w:r w:rsidRPr="00FD5087">
              <w:rPr>
                <w:rFonts w:cs="Arial"/>
                <w:sz w:val="18"/>
                <w:szCs w:val="18"/>
                <w:lang w:val="et-EE"/>
              </w:rPr>
              <w:t xml:space="preserve"> KMH aruandes on tehtud kokkuvõte KMH programmis antud ülevaatest tegevuse seostest</w:t>
            </w:r>
            <w:r w:rsidRPr="00FD5087">
              <w:rPr>
                <w:rFonts w:cs="Arial"/>
                <w:bCs w:val="0"/>
                <w:sz w:val="18"/>
                <w:szCs w:val="18"/>
                <w:lang w:val="et-EE"/>
              </w:rPr>
              <w:t xml:space="preserve"> </w:t>
            </w:r>
            <w:r w:rsidRPr="00FD5087">
              <w:rPr>
                <w:rFonts w:cs="Arial"/>
                <w:sz w:val="18"/>
                <w:szCs w:val="18"/>
                <w:lang w:val="et-EE"/>
              </w:rPr>
              <w:t xml:space="preserve">strateegiliste  planeerimisdokumentidega (lk 13). Kokkuvõttes on suur rõhk </w:t>
            </w:r>
            <w:r w:rsidRPr="00FD5087">
              <w:rPr>
                <w:rFonts w:cs="Arial"/>
                <w:b/>
                <w:bCs w:val="0"/>
                <w:sz w:val="18"/>
                <w:szCs w:val="18"/>
                <w:lang w:val="et-EE"/>
              </w:rPr>
              <w:t>ENMAK 2030</w:t>
            </w:r>
            <w:r w:rsidRPr="00FD5087">
              <w:rPr>
                <w:rFonts w:cs="Arial"/>
                <w:sz w:val="18"/>
                <w:szCs w:val="18"/>
                <w:lang w:val="et-EE"/>
              </w:rPr>
              <w:t xml:space="preserve">-l. </w:t>
            </w:r>
            <w:r w:rsidRPr="00FD5087">
              <w:rPr>
                <w:rFonts w:cs="Arial"/>
                <w:b/>
                <w:bCs w:val="0"/>
                <w:sz w:val="18"/>
                <w:szCs w:val="18"/>
                <w:lang w:val="et-EE"/>
              </w:rPr>
              <w:t>Palume kokkuvõtet täiendada infoga, et ENMAK 2030 on aegunud ning selle sisuliseks uuendamiseks on alustatud ENMAK 2035 koostamist. Samuti lisada juurde, et ENMAK 2030 sisu oli aegunud juba õlitehase detailplaneeringu kehtestamise (august 2019) ja ehitusloa väljastamise (märts 2020) hetkeks</w:t>
            </w:r>
            <w:r w:rsidRPr="00FD5087">
              <w:rPr>
                <w:rFonts w:cs="Arial"/>
                <w:sz w:val="18"/>
                <w:szCs w:val="18"/>
                <w:lang w:val="et-EE"/>
              </w:rPr>
              <w:t>. ENMAK on vastu võetud 2017. aastal, selle</w:t>
            </w:r>
            <w:r w:rsidRPr="00FD5087">
              <w:rPr>
                <w:rFonts w:cs="Arial"/>
                <w:bCs w:val="0"/>
                <w:sz w:val="18"/>
                <w:szCs w:val="18"/>
                <w:lang w:val="et-EE"/>
              </w:rPr>
              <w:t xml:space="preserve"> </w:t>
            </w:r>
            <w:r w:rsidRPr="00FD5087">
              <w:rPr>
                <w:rFonts w:cs="Arial"/>
                <w:sz w:val="18"/>
                <w:szCs w:val="18"/>
                <w:lang w:val="et-EE"/>
              </w:rPr>
              <w:t>KSH aruanne veelgi varem 2015. aastal, ent vahepealsel ajal on toimunud kliimateaduses ja</w:t>
            </w:r>
            <w:r w:rsidRPr="00FD5087">
              <w:rPr>
                <w:rFonts w:cs="Arial"/>
                <w:bCs w:val="0"/>
                <w:sz w:val="18"/>
                <w:szCs w:val="18"/>
                <w:lang w:val="et-EE"/>
              </w:rPr>
              <w:t xml:space="preserve"> </w:t>
            </w:r>
            <w:r w:rsidRPr="00FD5087">
              <w:rPr>
                <w:rFonts w:cs="Arial"/>
                <w:sz w:val="18"/>
                <w:szCs w:val="18"/>
                <w:lang w:val="et-EE"/>
              </w:rPr>
              <w:t>kliimapoliitikas olulisi arenguid: 2016. a jõustus Pariisi kliimalepe, 2018. a avalikustas IPCC</w:t>
            </w:r>
            <w:r w:rsidRPr="00FD5087">
              <w:rPr>
                <w:rFonts w:cs="Arial"/>
                <w:bCs w:val="0"/>
                <w:sz w:val="18"/>
                <w:szCs w:val="18"/>
                <w:lang w:val="et-EE"/>
              </w:rPr>
              <w:t xml:space="preserve"> </w:t>
            </w:r>
            <w:r w:rsidRPr="00FD5087">
              <w:rPr>
                <w:rFonts w:cs="Arial"/>
                <w:sz w:val="18"/>
                <w:szCs w:val="18"/>
                <w:lang w:val="et-EE"/>
              </w:rPr>
              <w:t xml:space="preserve">kliimateaduse ühe olulisima </w:t>
            </w:r>
            <w:r w:rsidRPr="00FD5087">
              <w:rPr>
                <w:rFonts w:cs="Arial"/>
                <w:sz w:val="18"/>
                <w:szCs w:val="18"/>
                <w:u w:val="single"/>
                <w:lang w:val="et-EE"/>
              </w:rPr>
              <w:t>aruande</w:t>
            </w:r>
            <w:r w:rsidR="000456F3" w:rsidRPr="00FD5087">
              <w:rPr>
                <w:rStyle w:val="FootnoteReference"/>
                <w:rFonts w:cs="Arial"/>
                <w:sz w:val="18"/>
                <w:szCs w:val="18"/>
                <w:u w:val="single"/>
                <w:lang w:val="et-EE"/>
              </w:rPr>
              <w:footnoteReference w:id="6"/>
            </w:r>
            <w:r w:rsidRPr="00FD5087">
              <w:rPr>
                <w:rFonts w:cs="Arial"/>
                <w:sz w:val="18"/>
                <w:szCs w:val="18"/>
                <w:lang w:val="et-EE"/>
              </w:rPr>
              <w:t>, 2019. a sügisel toetas Vabariigi Valitsus EL</w:t>
            </w:r>
            <w:r w:rsidRPr="00FD5087">
              <w:rPr>
                <w:rFonts w:cs="Arial"/>
                <w:bCs w:val="0"/>
                <w:sz w:val="18"/>
                <w:szCs w:val="18"/>
                <w:lang w:val="et-EE"/>
              </w:rPr>
              <w:t xml:space="preserve"> </w:t>
            </w:r>
            <w:r w:rsidRPr="00FD5087">
              <w:rPr>
                <w:rFonts w:cs="Arial"/>
                <w:sz w:val="18"/>
                <w:szCs w:val="18"/>
                <w:lang w:val="et-EE"/>
              </w:rPr>
              <w:t xml:space="preserve">ettepanekut saavutada </w:t>
            </w:r>
            <w:r w:rsidRPr="00FD5087">
              <w:rPr>
                <w:rFonts w:cs="Arial"/>
                <w:sz w:val="18"/>
                <w:szCs w:val="18"/>
                <w:lang w:val="et-EE"/>
              </w:rPr>
              <w:lastRenderedPageBreak/>
              <w:t>kliimaneutraalsus aastaks 2050</w:t>
            </w:r>
            <w:r w:rsidR="000456F3" w:rsidRPr="00FD5087">
              <w:rPr>
                <w:rStyle w:val="FootnoteReference"/>
                <w:rFonts w:cs="Arial"/>
                <w:sz w:val="18"/>
                <w:szCs w:val="18"/>
                <w:lang w:val="et-EE"/>
              </w:rPr>
              <w:footnoteReference w:id="7"/>
            </w:r>
            <w:r w:rsidRPr="00FD5087">
              <w:rPr>
                <w:rFonts w:cs="Arial"/>
                <w:sz w:val="18"/>
                <w:szCs w:val="18"/>
                <w:lang w:val="et-EE"/>
              </w:rPr>
              <w:t>, 2020. a jaanuaris andis Euroopa</w:t>
            </w:r>
            <w:r w:rsidRPr="00FD5087">
              <w:rPr>
                <w:rFonts w:cs="Arial"/>
                <w:bCs w:val="0"/>
                <w:sz w:val="18"/>
                <w:szCs w:val="18"/>
                <w:lang w:val="et-EE"/>
              </w:rPr>
              <w:t xml:space="preserve"> </w:t>
            </w:r>
            <w:r w:rsidRPr="00FD5087">
              <w:rPr>
                <w:rFonts w:cs="Arial"/>
                <w:sz w:val="18"/>
                <w:szCs w:val="18"/>
                <w:lang w:val="et-EE"/>
              </w:rPr>
              <w:t xml:space="preserve">Parlament oma heakskiidu </w:t>
            </w:r>
            <w:r w:rsidRPr="00FD5087">
              <w:rPr>
                <w:rFonts w:cs="Arial"/>
                <w:sz w:val="18"/>
                <w:szCs w:val="18"/>
                <w:u w:val="single"/>
                <w:lang w:val="et-EE"/>
              </w:rPr>
              <w:t>Euroopa rohelisele kokkuleppele</w:t>
            </w:r>
            <w:r w:rsidRPr="00FD5087">
              <w:rPr>
                <w:rFonts w:cs="Arial"/>
                <w:sz w:val="18"/>
                <w:szCs w:val="18"/>
                <w:lang w:val="et-EE"/>
              </w:rPr>
              <w:t>. Lisaks võeti 2021. a vastu</w:t>
            </w:r>
            <w:r w:rsidRPr="00FD5087">
              <w:rPr>
                <w:rFonts w:cs="Arial"/>
                <w:bCs w:val="0"/>
                <w:sz w:val="18"/>
                <w:szCs w:val="18"/>
                <w:lang w:val="et-EE"/>
              </w:rPr>
              <w:t xml:space="preserve"> </w:t>
            </w:r>
            <w:r w:rsidRPr="00FD5087">
              <w:rPr>
                <w:rFonts w:cs="Arial"/>
                <w:sz w:val="18"/>
                <w:szCs w:val="18"/>
                <w:lang w:val="et-EE"/>
              </w:rPr>
              <w:t>Euroopa kliimamäärus jne.</w:t>
            </w:r>
          </w:p>
        </w:tc>
        <w:tc>
          <w:tcPr>
            <w:tcW w:w="7377" w:type="dxa"/>
            <w:shd w:val="clear" w:color="auto" w:fill="FFFFFF" w:themeFill="background1"/>
            <w:vAlign w:val="top"/>
          </w:tcPr>
          <w:p w14:paraId="27311993" w14:textId="3C8415C5" w:rsidR="00757F8B" w:rsidRDefault="369026BF" w:rsidP="00161490">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603E8256">
              <w:rPr>
                <w:rFonts w:cs="Arial"/>
                <w:sz w:val="18"/>
                <w:szCs w:val="18"/>
                <w:lang w:val="et-EE"/>
              </w:rPr>
              <w:lastRenderedPageBreak/>
              <w:t xml:space="preserve">ENMAK 2030 </w:t>
            </w:r>
            <w:r w:rsidR="00E6344A" w:rsidRPr="603E8256">
              <w:rPr>
                <w:rFonts w:cs="Arial"/>
                <w:sz w:val="18"/>
                <w:szCs w:val="18"/>
                <w:lang w:val="et-EE"/>
              </w:rPr>
              <w:t>on kehtiv arengudokument</w:t>
            </w:r>
            <w:r w:rsidR="00E6344A">
              <w:rPr>
                <w:rFonts w:cs="Arial"/>
                <w:sz w:val="18"/>
                <w:szCs w:val="18"/>
                <w:lang w:val="et-EE"/>
              </w:rPr>
              <w:t xml:space="preserve"> ja sellele on viidanud omapoolsetes arvamustes KMH aruande kohta ka Majandus- ja </w:t>
            </w:r>
            <w:proofErr w:type="spellStart"/>
            <w:r w:rsidR="00E6344A">
              <w:rPr>
                <w:rFonts w:cs="Arial"/>
                <w:sz w:val="18"/>
                <w:szCs w:val="18"/>
                <w:lang w:val="et-EE"/>
              </w:rPr>
              <w:t>Kommunikatsiooni-ministeerium</w:t>
            </w:r>
            <w:proofErr w:type="spellEnd"/>
            <w:r w:rsidR="00E6344A">
              <w:rPr>
                <w:rFonts w:cs="Arial"/>
                <w:sz w:val="18"/>
                <w:szCs w:val="18"/>
                <w:lang w:val="et-EE"/>
              </w:rPr>
              <w:t xml:space="preserve"> kui energiamajanduse arengukavade </w:t>
            </w:r>
            <w:r w:rsidR="009B46C6">
              <w:rPr>
                <w:rFonts w:cs="Arial"/>
                <w:sz w:val="18"/>
                <w:szCs w:val="18"/>
                <w:lang w:val="et-EE"/>
              </w:rPr>
              <w:t xml:space="preserve">koostamise eest </w:t>
            </w:r>
            <w:r w:rsidR="00E6344A">
              <w:rPr>
                <w:rFonts w:cs="Arial"/>
                <w:sz w:val="18"/>
                <w:szCs w:val="18"/>
                <w:lang w:val="et-EE"/>
              </w:rPr>
              <w:t>vastuta</w:t>
            </w:r>
            <w:r w:rsidR="009B46C6">
              <w:rPr>
                <w:rFonts w:cs="Arial"/>
                <w:sz w:val="18"/>
                <w:szCs w:val="18"/>
                <w:lang w:val="et-EE"/>
              </w:rPr>
              <w:t>ja</w:t>
            </w:r>
            <w:r w:rsidR="00E6344A" w:rsidRPr="603E8256">
              <w:rPr>
                <w:rFonts w:cs="Arial"/>
                <w:sz w:val="18"/>
                <w:szCs w:val="18"/>
                <w:lang w:val="et-EE"/>
              </w:rPr>
              <w:t xml:space="preserve">. </w:t>
            </w:r>
            <w:r w:rsidR="006F4127">
              <w:rPr>
                <w:rFonts w:cs="Arial"/>
                <w:sz w:val="18"/>
                <w:szCs w:val="18"/>
                <w:lang w:val="et-EE"/>
              </w:rPr>
              <w:t>Kuid</w:t>
            </w:r>
            <w:r w:rsidR="00E6344A" w:rsidRPr="603E8256">
              <w:rPr>
                <w:rFonts w:cs="Arial"/>
                <w:sz w:val="18"/>
                <w:szCs w:val="18"/>
                <w:lang w:val="et-EE"/>
              </w:rPr>
              <w:t xml:space="preserve"> </w:t>
            </w:r>
            <w:proofErr w:type="spellStart"/>
            <w:r w:rsidR="00E6344A" w:rsidRPr="603E8256">
              <w:rPr>
                <w:rFonts w:cs="Arial"/>
                <w:sz w:val="18"/>
                <w:szCs w:val="18"/>
                <w:lang w:val="et-EE"/>
              </w:rPr>
              <w:t>tõepoolest</w:t>
            </w:r>
            <w:proofErr w:type="spellEnd"/>
            <w:r w:rsidR="00E6344A" w:rsidRPr="603E8256">
              <w:rPr>
                <w:rFonts w:cs="Arial"/>
                <w:sz w:val="18"/>
                <w:szCs w:val="18"/>
                <w:lang w:val="et-EE"/>
              </w:rPr>
              <w:t xml:space="preserve"> on aeg pärast selle vastuvõtmist edasi läinud</w:t>
            </w:r>
            <w:r w:rsidR="006F4127">
              <w:rPr>
                <w:rFonts w:cs="Arial"/>
                <w:sz w:val="18"/>
                <w:szCs w:val="18"/>
                <w:lang w:val="et-EE"/>
              </w:rPr>
              <w:t xml:space="preserve">, </w:t>
            </w:r>
            <w:r w:rsidR="00E6344A" w:rsidRPr="603E8256">
              <w:rPr>
                <w:rFonts w:cs="Arial"/>
                <w:sz w:val="18"/>
                <w:szCs w:val="18"/>
                <w:lang w:val="et-EE"/>
              </w:rPr>
              <w:t>aset on leidnud mitmed arengud</w:t>
            </w:r>
            <w:r w:rsidR="006F4127">
              <w:rPr>
                <w:rFonts w:cs="Arial"/>
                <w:sz w:val="18"/>
                <w:szCs w:val="18"/>
                <w:lang w:val="et-EE"/>
              </w:rPr>
              <w:t xml:space="preserve">, millega ENMAK 2030 koostamisel ei saanudki arvestada </w:t>
            </w:r>
            <w:r w:rsidR="00E6344A" w:rsidRPr="603E8256">
              <w:rPr>
                <w:rFonts w:cs="Arial"/>
                <w:sz w:val="18"/>
                <w:szCs w:val="18"/>
                <w:lang w:val="et-EE"/>
              </w:rPr>
              <w:t xml:space="preserve"> ja sellest tulenevalt on hakatud ette</w:t>
            </w:r>
            <w:r w:rsidR="006F4127">
              <w:rPr>
                <w:rFonts w:cs="Arial"/>
                <w:sz w:val="18"/>
                <w:szCs w:val="18"/>
                <w:lang w:val="et-EE"/>
              </w:rPr>
              <w:t xml:space="preserve"> </w:t>
            </w:r>
            <w:r w:rsidR="00E6344A" w:rsidRPr="603E8256">
              <w:rPr>
                <w:rFonts w:cs="Arial"/>
                <w:sz w:val="18"/>
                <w:szCs w:val="18"/>
                <w:lang w:val="et-EE"/>
              </w:rPr>
              <w:t xml:space="preserve">valmistama ka uut arengudokumenti. </w:t>
            </w:r>
            <w:r w:rsidR="006F4127" w:rsidRPr="603E8256">
              <w:rPr>
                <w:rFonts w:cs="Arial"/>
                <w:sz w:val="18"/>
                <w:szCs w:val="18"/>
                <w:lang w:val="et-EE"/>
              </w:rPr>
              <w:t>KMH</w:t>
            </w:r>
            <w:r w:rsidR="00E6344A" w:rsidRPr="603E8256">
              <w:rPr>
                <w:rFonts w:cs="Arial"/>
                <w:sz w:val="18"/>
                <w:szCs w:val="18"/>
                <w:lang w:val="et-EE"/>
              </w:rPr>
              <w:t xml:space="preserve"> aruanne tervikuna neid muutuseid ja neist tulenevaid mõjusid kuidagi ei eira. </w:t>
            </w:r>
            <w:r w:rsidR="006F4127">
              <w:rPr>
                <w:rFonts w:cs="Arial"/>
                <w:sz w:val="18"/>
                <w:szCs w:val="18"/>
                <w:lang w:val="et-EE"/>
              </w:rPr>
              <w:t>V</w:t>
            </w:r>
            <w:r w:rsidR="00E6344A" w:rsidRPr="603E8256">
              <w:rPr>
                <w:rFonts w:cs="Arial"/>
                <w:sz w:val="18"/>
                <w:szCs w:val="18"/>
                <w:lang w:val="et-EE"/>
              </w:rPr>
              <w:t>astupidi, nendega arvestatakse</w:t>
            </w:r>
            <w:r w:rsidR="006F4127">
              <w:rPr>
                <w:rFonts w:cs="Arial"/>
                <w:sz w:val="18"/>
                <w:szCs w:val="18"/>
                <w:lang w:val="et-EE"/>
              </w:rPr>
              <w:t xml:space="preserve"> (mh on KMH aruande </w:t>
            </w:r>
            <w:proofErr w:type="spellStart"/>
            <w:r w:rsidR="006F4127">
              <w:rPr>
                <w:rFonts w:cs="Arial"/>
                <w:sz w:val="18"/>
                <w:szCs w:val="18"/>
                <w:lang w:val="et-EE"/>
              </w:rPr>
              <w:t>ptk</w:t>
            </w:r>
            <w:proofErr w:type="spellEnd"/>
            <w:r w:rsidR="006F4127">
              <w:rPr>
                <w:rFonts w:cs="Arial"/>
                <w:sz w:val="18"/>
                <w:szCs w:val="18"/>
                <w:lang w:val="et-EE"/>
              </w:rPr>
              <w:t xml:space="preserve"> 3</w:t>
            </w:r>
            <w:r w:rsidR="007C6D9E">
              <w:rPr>
                <w:rFonts w:cs="Arial"/>
                <w:sz w:val="18"/>
                <w:szCs w:val="18"/>
                <w:lang w:val="et-EE"/>
              </w:rPr>
              <w:t>.1</w:t>
            </w:r>
            <w:r w:rsidR="006F4127">
              <w:rPr>
                <w:rFonts w:cs="Arial"/>
                <w:sz w:val="18"/>
                <w:szCs w:val="18"/>
                <w:lang w:val="et-EE"/>
              </w:rPr>
              <w:t xml:space="preserve"> viidatud, et toimunud </w:t>
            </w:r>
            <w:r w:rsidR="006F4127" w:rsidRPr="006F4127">
              <w:rPr>
                <w:rFonts w:cs="Arial"/>
                <w:sz w:val="18"/>
                <w:szCs w:val="18"/>
                <w:lang w:val="et-EE"/>
              </w:rPr>
              <w:t xml:space="preserve">muudatuste ja </w:t>
            </w:r>
            <w:r w:rsidR="006F4127">
              <w:rPr>
                <w:rFonts w:cs="Arial"/>
                <w:sz w:val="18"/>
                <w:szCs w:val="18"/>
                <w:lang w:val="et-EE"/>
              </w:rPr>
              <w:t xml:space="preserve">uute </w:t>
            </w:r>
            <w:r w:rsidR="006F4127" w:rsidRPr="006F4127">
              <w:rPr>
                <w:rFonts w:cs="Arial"/>
                <w:sz w:val="18"/>
                <w:szCs w:val="18"/>
                <w:lang w:val="et-EE"/>
              </w:rPr>
              <w:t>eesmärkide kontekstis ei ole praegu kavandatavale Enefit280-2 õlitehasele lisaks veel kolme täiendava Enefit280 õlitehase rajamine enam otstarbekas</w:t>
            </w:r>
            <w:r w:rsidR="006F4127">
              <w:rPr>
                <w:rFonts w:cs="Arial"/>
                <w:sz w:val="18"/>
                <w:szCs w:val="18"/>
                <w:lang w:val="et-EE"/>
              </w:rPr>
              <w:t>)</w:t>
            </w:r>
            <w:r w:rsidR="00E6344A" w:rsidRPr="603E8256">
              <w:rPr>
                <w:rFonts w:cs="Arial"/>
                <w:sz w:val="18"/>
                <w:szCs w:val="18"/>
                <w:lang w:val="et-EE"/>
              </w:rPr>
              <w:t xml:space="preserve"> ja nendega toimetulekuks nähakse ette erinevaid täiendavaid meetmeid, et nii </w:t>
            </w:r>
            <w:r w:rsidR="006F4127" w:rsidRPr="603E8256">
              <w:rPr>
                <w:rFonts w:cs="Arial"/>
                <w:sz w:val="18"/>
                <w:szCs w:val="18"/>
                <w:lang w:val="et-EE"/>
              </w:rPr>
              <w:t>E</w:t>
            </w:r>
            <w:r w:rsidR="00E6344A" w:rsidRPr="603E8256">
              <w:rPr>
                <w:rFonts w:cs="Arial"/>
                <w:sz w:val="18"/>
                <w:szCs w:val="18"/>
                <w:lang w:val="et-EE"/>
              </w:rPr>
              <w:t xml:space="preserve">esti, kui ka </w:t>
            </w:r>
            <w:r w:rsidR="006F4127" w:rsidRPr="603E8256">
              <w:rPr>
                <w:rFonts w:cs="Arial"/>
                <w:sz w:val="18"/>
                <w:szCs w:val="18"/>
                <w:lang w:val="et-EE"/>
              </w:rPr>
              <w:t>EL</w:t>
            </w:r>
            <w:r w:rsidR="00E6344A" w:rsidRPr="603E8256">
              <w:rPr>
                <w:rFonts w:cs="Arial"/>
                <w:sz w:val="18"/>
                <w:szCs w:val="18"/>
                <w:lang w:val="et-EE"/>
              </w:rPr>
              <w:t>-i pikaajalised eesmärgid saaksid igal juhul täidetud.</w:t>
            </w:r>
            <w:r w:rsidR="006F4127">
              <w:rPr>
                <w:rFonts w:cs="Arial"/>
                <w:sz w:val="18"/>
                <w:szCs w:val="18"/>
                <w:lang w:val="et-EE"/>
              </w:rPr>
              <w:t xml:space="preserve"> S</w:t>
            </w:r>
            <w:r w:rsidR="00E6344A" w:rsidRPr="603E8256">
              <w:rPr>
                <w:rFonts w:cs="Arial"/>
                <w:sz w:val="18"/>
                <w:szCs w:val="18"/>
                <w:lang w:val="et-EE"/>
              </w:rPr>
              <w:t xml:space="preserve">eetõttu ei </w:t>
            </w:r>
            <w:r w:rsidR="006F4127">
              <w:rPr>
                <w:rFonts w:cs="Arial"/>
                <w:sz w:val="18"/>
                <w:szCs w:val="18"/>
                <w:lang w:val="et-EE"/>
              </w:rPr>
              <w:t>ole</w:t>
            </w:r>
            <w:r w:rsidR="00E6344A" w:rsidRPr="603E8256">
              <w:rPr>
                <w:rFonts w:cs="Arial"/>
                <w:sz w:val="18"/>
                <w:szCs w:val="18"/>
                <w:lang w:val="et-EE"/>
              </w:rPr>
              <w:t xml:space="preserve"> põhjust </w:t>
            </w:r>
            <w:r w:rsidR="006F4127">
              <w:rPr>
                <w:rFonts w:cs="Arial"/>
                <w:sz w:val="18"/>
                <w:szCs w:val="18"/>
                <w:lang w:val="et-EE"/>
              </w:rPr>
              <w:t xml:space="preserve">ENMAK </w:t>
            </w:r>
            <w:r w:rsidR="00E6344A" w:rsidRPr="603E8256">
              <w:rPr>
                <w:rFonts w:cs="Arial"/>
                <w:sz w:val="18"/>
                <w:szCs w:val="18"/>
                <w:lang w:val="et-EE"/>
              </w:rPr>
              <w:t xml:space="preserve">2030-ga seonduvat aruandes </w:t>
            </w:r>
            <w:r w:rsidR="006F4127">
              <w:rPr>
                <w:rFonts w:cs="Arial"/>
                <w:sz w:val="18"/>
                <w:szCs w:val="18"/>
                <w:lang w:val="et-EE"/>
              </w:rPr>
              <w:t xml:space="preserve">mahukamalt </w:t>
            </w:r>
            <w:r w:rsidR="00E6344A" w:rsidRPr="603E8256">
              <w:rPr>
                <w:rFonts w:cs="Arial"/>
                <w:sz w:val="18"/>
                <w:szCs w:val="18"/>
                <w:lang w:val="et-EE"/>
              </w:rPr>
              <w:t>täpsustada.</w:t>
            </w:r>
            <w:r w:rsidR="006F4127">
              <w:rPr>
                <w:rFonts w:cs="Arial"/>
                <w:sz w:val="18"/>
                <w:szCs w:val="18"/>
                <w:lang w:val="et-EE"/>
              </w:rPr>
              <w:t xml:space="preserve"> Kuid kuna Enefit280-2 rajamise sisuline investeerimisotsus võeti </w:t>
            </w:r>
            <w:r w:rsidR="009C5A71">
              <w:rPr>
                <w:rFonts w:cs="Arial"/>
                <w:sz w:val="18"/>
                <w:szCs w:val="18"/>
                <w:lang w:val="et-EE"/>
              </w:rPr>
              <w:t xml:space="preserve">vastu </w:t>
            </w:r>
            <w:r w:rsidR="006F4127" w:rsidRPr="009C5A71">
              <w:rPr>
                <w:rFonts w:cs="Arial"/>
                <w:sz w:val="18"/>
                <w:szCs w:val="18"/>
                <w:lang w:val="et-EE"/>
              </w:rPr>
              <w:t>20</w:t>
            </w:r>
            <w:r w:rsidR="009C5A71" w:rsidRPr="009C5A71">
              <w:rPr>
                <w:rFonts w:cs="Arial"/>
                <w:sz w:val="18"/>
                <w:szCs w:val="18"/>
                <w:lang w:val="et-EE"/>
              </w:rPr>
              <w:t>20</w:t>
            </w:r>
            <w:r w:rsidR="006F4127" w:rsidRPr="009C5A71">
              <w:rPr>
                <w:rFonts w:cs="Arial"/>
                <w:sz w:val="18"/>
                <w:szCs w:val="18"/>
                <w:lang w:val="et-EE"/>
              </w:rPr>
              <w:t>. aasta</w:t>
            </w:r>
            <w:r w:rsidR="009C5A71" w:rsidRPr="009C5A71">
              <w:rPr>
                <w:rFonts w:cs="Arial"/>
                <w:sz w:val="18"/>
                <w:szCs w:val="18"/>
                <w:lang w:val="et-EE"/>
              </w:rPr>
              <w:t xml:space="preserve"> kevadel</w:t>
            </w:r>
            <w:r w:rsidR="009B46C6" w:rsidRPr="009C5A71">
              <w:rPr>
                <w:rFonts w:cs="Arial"/>
                <w:sz w:val="18"/>
                <w:szCs w:val="18"/>
                <w:lang w:val="et-EE"/>
              </w:rPr>
              <w:t xml:space="preserve"> </w:t>
            </w:r>
            <w:r w:rsidR="006F4127" w:rsidRPr="009C5A71">
              <w:rPr>
                <w:rFonts w:cs="Arial"/>
                <w:sz w:val="18"/>
                <w:szCs w:val="18"/>
                <w:lang w:val="et-EE"/>
              </w:rPr>
              <w:t xml:space="preserve">ENMAK 2030 kui ajakohase </w:t>
            </w:r>
            <w:r w:rsidR="006F4127" w:rsidRPr="009C5A71">
              <w:rPr>
                <w:rFonts w:cs="Arial"/>
                <w:sz w:val="18"/>
                <w:szCs w:val="18"/>
                <w:lang w:val="et-EE"/>
              </w:rPr>
              <w:lastRenderedPageBreak/>
              <w:t>arengukava alusel, ei ole või</w:t>
            </w:r>
            <w:r w:rsidR="006F4127">
              <w:rPr>
                <w:rFonts w:cs="Arial"/>
                <w:sz w:val="18"/>
                <w:szCs w:val="18"/>
                <w:lang w:val="et-EE"/>
              </w:rPr>
              <w:t>malik seda ka strateegilise arengudokumendina „tühistada“ või ignoreerida.</w:t>
            </w:r>
          </w:p>
          <w:p w14:paraId="3FABD0A9" w14:textId="4249AFE1" w:rsidR="009C5A71" w:rsidRPr="00FD5087" w:rsidRDefault="009C5A71" w:rsidP="00161490">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70484E">
              <w:rPr>
                <w:rFonts w:cs="Arial"/>
                <w:sz w:val="18"/>
                <w:szCs w:val="18"/>
                <w:lang w:val="et-EE"/>
              </w:rPr>
              <w:t>KMH aruannet selle konkreetse ettepaneku alusel ei täiendata.</w:t>
            </w:r>
          </w:p>
        </w:tc>
      </w:tr>
      <w:tr w:rsidR="0042043A" w:rsidRPr="00FD5087" w14:paraId="4CB4F4A1"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27B40882" w14:textId="4721EE57" w:rsidR="0042043A" w:rsidRPr="00FD5087" w:rsidRDefault="000456F3" w:rsidP="000456F3">
            <w:pPr>
              <w:spacing w:beforeLines="60" w:before="144"/>
              <w:rPr>
                <w:rFonts w:cs="Arial"/>
                <w:sz w:val="18"/>
                <w:szCs w:val="18"/>
                <w:lang w:val="et-EE"/>
              </w:rPr>
            </w:pPr>
            <w:r w:rsidRPr="00FD5087">
              <w:rPr>
                <w:rFonts w:cs="Arial"/>
                <w:sz w:val="18"/>
                <w:szCs w:val="18"/>
                <w:lang w:val="et-EE"/>
              </w:rPr>
              <w:lastRenderedPageBreak/>
              <w:t>2d. KMH programmis (lk 17) ning KMH aruandes (lk 17) on öeldud ENMAK 2035 kohta:</w:t>
            </w:r>
            <w:r w:rsidRPr="00FD5087">
              <w:rPr>
                <w:rFonts w:cs="Arial"/>
                <w:bCs w:val="0"/>
                <w:sz w:val="18"/>
                <w:szCs w:val="18"/>
                <w:lang w:val="et-EE"/>
              </w:rPr>
              <w:t xml:space="preserve"> </w:t>
            </w:r>
            <w:r w:rsidRPr="00FD5087">
              <w:rPr>
                <w:rFonts w:cs="Arial"/>
                <w:sz w:val="18"/>
                <w:szCs w:val="18"/>
                <w:lang w:val="et-EE"/>
              </w:rPr>
              <w:t>“Põlevkiviõli tootmist [ENMAK 2035 koostamise ettepanekus] eraldi ei nimetata, küll aga</w:t>
            </w:r>
            <w:r w:rsidRPr="00FD5087">
              <w:rPr>
                <w:rFonts w:cs="Arial"/>
                <w:bCs w:val="0"/>
                <w:sz w:val="18"/>
                <w:szCs w:val="18"/>
                <w:lang w:val="et-EE"/>
              </w:rPr>
              <w:t xml:space="preserve"> </w:t>
            </w:r>
            <w:r w:rsidRPr="00FD5087">
              <w:rPr>
                <w:rFonts w:cs="Arial"/>
                <w:sz w:val="18"/>
                <w:szCs w:val="18"/>
                <w:lang w:val="et-EE"/>
              </w:rPr>
              <w:t>viidatakse vajadusele tegeleda põlevkivitööstuse teemadega, sh kliimateemad, Ida- Virumaa</w:t>
            </w:r>
            <w:r w:rsidRPr="00FD5087">
              <w:rPr>
                <w:rFonts w:cs="Arial"/>
                <w:bCs w:val="0"/>
                <w:sz w:val="18"/>
                <w:szCs w:val="18"/>
                <w:lang w:val="et-EE"/>
              </w:rPr>
              <w:t xml:space="preserve"> </w:t>
            </w:r>
            <w:r w:rsidRPr="00FD5087">
              <w:rPr>
                <w:rFonts w:cs="Arial"/>
                <w:sz w:val="18"/>
                <w:szCs w:val="18"/>
                <w:lang w:val="et-EE"/>
              </w:rPr>
              <w:t>majanduse kohandamine, jm”. Selliselt ei anna KMH aruanne infot ENMAK 2035</w:t>
            </w:r>
            <w:r w:rsidRPr="00FD5087">
              <w:rPr>
                <w:rFonts w:cs="Arial"/>
                <w:bCs w:val="0"/>
                <w:sz w:val="18"/>
                <w:szCs w:val="18"/>
                <w:lang w:val="et-EE"/>
              </w:rPr>
              <w:t xml:space="preserve"> </w:t>
            </w:r>
            <w:r w:rsidRPr="00FD5087">
              <w:rPr>
                <w:rFonts w:cs="Arial"/>
                <w:sz w:val="18"/>
                <w:szCs w:val="18"/>
                <w:lang w:val="et-EE"/>
              </w:rPr>
              <w:t xml:space="preserve">ajakohastamise eesmärgi ja sisu kohta, milleks on </w:t>
            </w:r>
            <w:proofErr w:type="spellStart"/>
            <w:r w:rsidRPr="00FD5087">
              <w:rPr>
                <w:rFonts w:cs="Arial"/>
                <w:sz w:val="18"/>
                <w:szCs w:val="18"/>
                <w:lang w:val="et-EE"/>
              </w:rPr>
              <w:t>ENMAKi</w:t>
            </w:r>
            <w:proofErr w:type="spellEnd"/>
            <w:r w:rsidRPr="00FD5087">
              <w:rPr>
                <w:rFonts w:cs="Arial"/>
                <w:sz w:val="18"/>
                <w:szCs w:val="18"/>
                <w:lang w:val="et-EE"/>
              </w:rPr>
              <w:t xml:space="preserve"> kooskõlla viimine vajadusega</w:t>
            </w:r>
            <w:r w:rsidRPr="00FD5087">
              <w:rPr>
                <w:rFonts w:cs="Arial"/>
                <w:bCs w:val="0"/>
                <w:sz w:val="18"/>
                <w:szCs w:val="18"/>
                <w:lang w:val="et-EE"/>
              </w:rPr>
              <w:t xml:space="preserve"> </w:t>
            </w:r>
            <w:r w:rsidRPr="00FD5087">
              <w:rPr>
                <w:rFonts w:cs="Arial"/>
                <w:sz w:val="18"/>
                <w:szCs w:val="18"/>
                <w:lang w:val="et-EE"/>
              </w:rPr>
              <w:t>muuta energia tootmine ja tarbimine kliimaneutraalseks, tagades samal ajal</w:t>
            </w:r>
            <w:r w:rsidRPr="00FD5087">
              <w:rPr>
                <w:rFonts w:cs="Arial"/>
                <w:bCs w:val="0"/>
                <w:sz w:val="18"/>
                <w:szCs w:val="18"/>
                <w:lang w:val="et-EE"/>
              </w:rPr>
              <w:t xml:space="preserve"> </w:t>
            </w:r>
            <w:r w:rsidRPr="00FD5087">
              <w:rPr>
                <w:rFonts w:cs="Arial"/>
                <w:sz w:val="18"/>
                <w:szCs w:val="18"/>
                <w:lang w:val="et-EE"/>
              </w:rPr>
              <w:t>energiajulgeoleku.</w:t>
            </w:r>
            <w:r w:rsidRPr="00FD5087">
              <w:rPr>
                <w:rStyle w:val="FootnoteReference"/>
                <w:rFonts w:cs="Arial"/>
                <w:sz w:val="18"/>
                <w:szCs w:val="18"/>
                <w:lang w:val="et-EE"/>
              </w:rPr>
              <w:footnoteReference w:id="8"/>
            </w:r>
            <w:r w:rsidRPr="00FD5087">
              <w:rPr>
                <w:rFonts w:cs="Arial"/>
                <w:sz w:val="18"/>
                <w:szCs w:val="18"/>
                <w:lang w:val="et-EE"/>
              </w:rPr>
              <w:t xml:space="preserve"> </w:t>
            </w:r>
            <w:r w:rsidRPr="00FD5087">
              <w:rPr>
                <w:rFonts w:cs="Arial"/>
                <w:b/>
                <w:bCs w:val="0"/>
                <w:sz w:val="18"/>
                <w:szCs w:val="18"/>
                <w:lang w:val="et-EE"/>
              </w:rPr>
              <w:t>Palume seda väidet KMH aruandes täpsustada ning asendada tekstis “kliimateemad” üleminekuga kliimaneutraalsele majandusele ja kliimakindlusega, “Ida-Virumaa majanduse kohandamine” asendada Ida-Virumaa majanduse kujundamisega kliimaneutraalseks.</w:t>
            </w:r>
          </w:p>
        </w:tc>
        <w:tc>
          <w:tcPr>
            <w:tcW w:w="7377" w:type="dxa"/>
            <w:shd w:val="clear" w:color="auto" w:fill="FFFFFF" w:themeFill="background1"/>
            <w:vAlign w:val="top"/>
          </w:tcPr>
          <w:p w14:paraId="24CAB22D" w14:textId="3C42B5E9" w:rsidR="007F1355" w:rsidRPr="005E3342" w:rsidRDefault="7C95A417" w:rsidP="00A10227">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5E3342">
              <w:rPr>
                <w:rFonts w:cs="Arial"/>
                <w:sz w:val="18"/>
                <w:szCs w:val="18"/>
                <w:lang w:val="et-EE"/>
              </w:rPr>
              <w:t xml:space="preserve">ENMAK 2035 </w:t>
            </w:r>
            <w:r w:rsidR="006E4F54" w:rsidRPr="005E3342">
              <w:rPr>
                <w:rFonts w:cs="Arial"/>
                <w:sz w:val="18"/>
                <w:szCs w:val="18"/>
                <w:lang w:val="et-EE"/>
              </w:rPr>
              <w:t xml:space="preserve">koostamine on täna jätkuvalt alles üsna varajases faasis, selle lõpliku sisu kohta on veel vara järeldusi teha. Sellest hoolimata käsitleb aruanne üleminekut kliimaneutraalsele majandusele, </w:t>
            </w:r>
            <w:r w:rsidR="009F6F96" w:rsidRPr="005E3342">
              <w:rPr>
                <w:rFonts w:cs="Arial"/>
                <w:sz w:val="18"/>
                <w:szCs w:val="18"/>
                <w:lang w:val="et-EE"/>
              </w:rPr>
              <w:t xml:space="preserve">eelkõige </w:t>
            </w:r>
            <w:r w:rsidR="006E4F54" w:rsidRPr="005E3342">
              <w:rPr>
                <w:rFonts w:cs="Arial"/>
                <w:sz w:val="18"/>
                <w:szCs w:val="18"/>
                <w:lang w:val="et-EE"/>
              </w:rPr>
              <w:t xml:space="preserve">selle võimalikke mõjusid Enefit280-2 tehase projektile, võimalikke edaspidi rakendatavaid leevendavaid meetmeid jms, et Eesti ja EL-i pikaajalised eesmärgid saaksid täidetud. Soovitame lugeda aruannet terviklikult ja mitte keskenduda üksikute sõnade või lausete muutmisele. Tuleb nentida, et </w:t>
            </w:r>
            <w:r w:rsidR="00EA2D87" w:rsidRPr="005E3342">
              <w:rPr>
                <w:rFonts w:cs="Arial"/>
                <w:sz w:val="18"/>
                <w:szCs w:val="18"/>
                <w:lang w:val="et-EE"/>
              </w:rPr>
              <w:t xml:space="preserve">kuigi ENMAK 2035 algatamisotsus kasutab </w:t>
            </w:r>
            <w:r w:rsidR="00D01A16" w:rsidRPr="005E3342">
              <w:rPr>
                <w:rFonts w:cs="Arial"/>
                <w:sz w:val="18"/>
                <w:szCs w:val="18"/>
                <w:lang w:val="et-EE"/>
              </w:rPr>
              <w:t xml:space="preserve">eesmärkidele </w:t>
            </w:r>
            <w:r w:rsidR="00EA2D87" w:rsidRPr="005E3342">
              <w:rPr>
                <w:rFonts w:cs="Arial"/>
                <w:sz w:val="18"/>
                <w:szCs w:val="18"/>
                <w:lang w:val="et-EE"/>
              </w:rPr>
              <w:t xml:space="preserve">viitamisel ohtralt kliimaneutraalsuse märksõna, siis </w:t>
            </w:r>
            <w:r w:rsidR="006E4F54" w:rsidRPr="005E3342">
              <w:rPr>
                <w:rFonts w:cs="Arial"/>
                <w:sz w:val="18"/>
                <w:szCs w:val="18"/>
                <w:lang w:val="et-EE"/>
              </w:rPr>
              <w:t>praegu puuduvad strateegilised arengudokumendid, mi</w:t>
            </w:r>
            <w:r w:rsidR="009C5A71" w:rsidRPr="005E3342">
              <w:rPr>
                <w:rFonts w:cs="Arial"/>
                <w:sz w:val="18"/>
                <w:szCs w:val="18"/>
                <w:lang w:val="et-EE"/>
              </w:rPr>
              <w:t>lle</w:t>
            </w:r>
            <w:r w:rsidR="00EA2D87" w:rsidRPr="005E3342">
              <w:rPr>
                <w:rFonts w:cs="Arial"/>
                <w:sz w:val="18"/>
                <w:szCs w:val="18"/>
                <w:lang w:val="et-EE"/>
              </w:rPr>
              <w:t xml:space="preserve">s oleks toodud konkreetsed </w:t>
            </w:r>
            <w:r w:rsidR="00EA2D87" w:rsidRPr="0070484E">
              <w:rPr>
                <w:rFonts w:cs="Arial"/>
                <w:sz w:val="18"/>
                <w:szCs w:val="18"/>
                <w:lang w:val="et-EE"/>
              </w:rPr>
              <w:t>tegevuskavad, nt kuidas</w:t>
            </w:r>
            <w:r w:rsidR="006E4F54" w:rsidRPr="0070484E">
              <w:rPr>
                <w:rFonts w:cs="Arial"/>
                <w:sz w:val="18"/>
                <w:szCs w:val="18"/>
                <w:lang w:val="et-EE"/>
              </w:rPr>
              <w:t xml:space="preserve"> Ida-Virumaa majandust </w:t>
            </w:r>
            <w:r w:rsidR="00EA2D87" w:rsidRPr="0070484E">
              <w:rPr>
                <w:rFonts w:cs="Arial"/>
                <w:sz w:val="18"/>
                <w:szCs w:val="18"/>
                <w:lang w:val="et-EE"/>
              </w:rPr>
              <w:t xml:space="preserve">kujundada </w:t>
            </w:r>
            <w:r w:rsidR="006E4F54" w:rsidRPr="0070484E">
              <w:rPr>
                <w:rFonts w:cs="Arial"/>
                <w:sz w:val="18"/>
                <w:szCs w:val="18"/>
                <w:lang w:val="et-EE"/>
              </w:rPr>
              <w:t>kliimaneutraalseks</w:t>
            </w:r>
            <w:r w:rsidR="00D01A16" w:rsidRPr="0070484E">
              <w:rPr>
                <w:rFonts w:cs="Arial"/>
                <w:sz w:val="18"/>
                <w:szCs w:val="18"/>
                <w:lang w:val="et-EE"/>
              </w:rPr>
              <w:t xml:space="preserve"> (</w:t>
            </w:r>
            <w:r w:rsidR="00D01A16" w:rsidRPr="005E3342">
              <w:rPr>
                <w:rFonts w:cs="Arial"/>
                <w:sz w:val="18"/>
                <w:szCs w:val="18"/>
                <w:lang w:val="et-EE"/>
              </w:rPr>
              <w:t>algatamisotsuse lisa 2 viitab seonduvate dokumentide seas Ida-Virumaa õiglase üleminekuga seotud arengudokumentidele, milleks on Ida-Virumaa õiglane üleminek ja tegevuskava</w:t>
            </w:r>
            <w:r w:rsidR="006D5C20" w:rsidRPr="005E3342">
              <w:rPr>
                <w:rFonts w:cs="Arial"/>
                <w:sz w:val="18"/>
                <w:szCs w:val="18"/>
                <w:lang w:val="et-EE"/>
              </w:rPr>
              <w:t xml:space="preserve">, </w:t>
            </w:r>
            <w:r w:rsidR="007F1355" w:rsidRPr="005E3342">
              <w:rPr>
                <w:rFonts w:cs="Arial"/>
                <w:sz w:val="18"/>
                <w:szCs w:val="18"/>
                <w:lang w:val="et-EE"/>
              </w:rPr>
              <w:t>mis käsitleb konkreetseid tegevusi kuni aastani 2027</w:t>
            </w:r>
            <w:r w:rsidR="007C6D9E" w:rsidRPr="005E3342">
              <w:rPr>
                <w:rFonts w:cs="Arial"/>
                <w:sz w:val="18"/>
                <w:szCs w:val="18"/>
                <w:lang w:val="et-EE"/>
              </w:rPr>
              <w:t>,</w:t>
            </w:r>
            <w:r w:rsidR="007F1355" w:rsidRPr="005E3342">
              <w:rPr>
                <w:rFonts w:cs="Arial"/>
                <w:sz w:val="18"/>
                <w:szCs w:val="18"/>
                <w:lang w:val="et-EE"/>
              </w:rPr>
              <w:t xml:space="preserve"> </w:t>
            </w:r>
            <w:r w:rsidR="00D01A16" w:rsidRPr="005E3342">
              <w:rPr>
                <w:rFonts w:cs="Arial"/>
                <w:sz w:val="18"/>
                <w:szCs w:val="18"/>
                <w:lang w:val="et-EE"/>
              </w:rPr>
              <w:t>ku</w:t>
            </w:r>
            <w:r w:rsidR="007F1355" w:rsidRPr="005E3342">
              <w:rPr>
                <w:rFonts w:cs="Arial"/>
                <w:sz w:val="18"/>
                <w:szCs w:val="18"/>
                <w:lang w:val="et-EE"/>
              </w:rPr>
              <w:t xml:space="preserve">id </w:t>
            </w:r>
            <w:r w:rsidR="00D01A16" w:rsidRPr="005E3342">
              <w:rPr>
                <w:rFonts w:cs="Arial"/>
                <w:sz w:val="18"/>
                <w:szCs w:val="18"/>
                <w:lang w:val="et-EE"/>
              </w:rPr>
              <w:t>kliimaneutraalsuse saavutami</w:t>
            </w:r>
            <w:r w:rsidR="007F1355" w:rsidRPr="005E3342">
              <w:rPr>
                <w:rFonts w:cs="Arial"/>
                <w:sz w:val="18"/>
                <w:szCs w:val="18"/>
                <w:lang w:val="et-EE"/>
              </w:rPr>
              <w:t xml:space="preserve">ne on </w:t>
            </w:r>
            <w:proofErr w:type="spellStart"/>
            <w:r w:rsidR="007F1355" w:rsidRPr="005E3342">
              <w:rPr>
                <w:rFonts w:cs="Arial"/>
                <w:sz w:val="18"/>
                <w:szCs w:val="18"/>
                <w:lang w:val="et-EE"/>
              </w:rPr>
              <w:t>üldeesmärk</w:t>
            </w:r>
            <w:proofErr w:type="spellEnd"/>
            <w:r w:rsidR="007F1355" w:rsidRPr="005E3342">
              <w:rPr>
                <w:rFonts w:cs="Arial"/>
                <w:sz w:val="18"/>
                <w:szCs w:val="18"/>
                <w:lang w:val="et-EE"/>
              </w:rPr>
              <w:t xml:space="preserve">, milleni jõutakse 2050. aastal). </w:t>
            </w:r>
          </w:p>
          <w:p w14:paraId="2434E115" w14:textId="307268C4" w:rsidR="00744EF4" w:rsidRPr="005E3342" w:rsidRDefault="006F4C43" w:rsidP="00744EF4">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1E804D7F">
              <w:rPr>
                <w:rFonts w:cs="Arial"/>
                <w:sz w:val="18"/>
                <w:szCs w:val="18"/>
                <w:lang w:val="et-EE"/>
              </w:rPr>
              <w:t xml:space="preserve">Siinkohal tuleb </w:t>
            </w:r>
            <w:r w:rsidR="007F1355" w:rsidRPr="1E804D7F">
              <w:rPr>
                <w:rFonts w:cs="Arial"/>
                <w:sz w:val="18"/>
                <w:szCs w:val="18"/>
                <w:lang w:val="et-EE"/>
              </w:rPr>
              <w:t>ka märk</w:t>
            </w:r>
            <w:r w:rsidRPr="1E804D7F">
              <w:rPr>
                <w:rFonts w:cs="Arial"/>
                <w:sz w:val="18"/>
                <w:szCs w:val="18"/>
                <w:lang w:val="et-EE"/>
              </w:rPr>
              <w:t>ida, et ENMAK 2035 algat</w:t>
            </w:r>
            <w:r w:rsidR="0070484E" w:rsidRPr="1E804D7F">
              <w:rPr>
                <w:rFonts w:cs="Arial"/>
                <w:sz w:val="18"/>
                <w:szCs w:val="18"/>
                <w:lang w:val="et-EE"/>
              </w:rPr>
              <w:t>a</w:t>
            </w:r>
            <w:r w:rsidRPr="1E804D7F">
              <w:rPr>
                <w:rFonts w:cs="Arial"/>
                <w:sz w:val="18"/>
                <w:szCs w:val="18"/>
                <w:lang w:val="et-EE"/>
              </w:rPr>
              <w:t xml:space="preserve">misotsuses (ja mujal) </w:t>
            </w:r>
            <w:r w:rsidR="007F1355" w:rsidRPr="1E804D7F">
              <w:rPr>
                <w:rFonts w:cs="Arial"/>
                <w:sz w:val="18"/>
                <w:szCs w:val="18"/>
                <w:lang w:val="et-EE"/>
              </w:rPr>
              <w:t xml:space="preserve">välja toodud eesmärk asendada </w:t>
            </w:r>
            <w:r w:rsidRPr="1E804D7F">
              <w:rPr>
                <w:rFonts w:cs="Arial"/>
                <w:sz w:val="18"/>
                <w:szCs w:val="18"/>
                <w:lang w:val="et-EE"/>
              </w:rPr>
              <w:t>fossiilkütuse</w:t>
            </w:r>
            <w:r w:rsidR="007F1355" w:rsidRPr="1E804D7F">
              <w:rPr>
                <w:rFonts w:cs="Arial"/>
                <w:sz w:val="18"/>
                <w:szCs w:val="18"/>
                <w:lang w:val="et-EE"/>
              </w:rPr>
              <w:t>d</w:t>
            </w:r>
            <w:r w:rsidRPr="1E804D7F">
              <w:rPr>
                <w:rFonts w:cs="Arial"/>
                <w:sz w:val="18"/>
                <w:szCs w:val="18"/>
                <w:lang w:val="et-EE"/>
              </w:rPr>
              <w:t xml:space="preserve"> taastuvkütustega ei tähenda põlevkivi kasutamise keeldu </w:t>
            </w:r>
            <w:r w:rsidR="002A1637" w:rsidRPr="1E804D7F">
              <w:rPr>
                <w:rFonts w:cs="Arial"/>
                <w:sz w:val="18"/>
                <w:szCs w:val="18"/>
                <w:lang w:val="et-EE"/>
              </w:rPr>
              <w:t xml:space="preserve">muul eesmärgil, </w:t>
            </w:r>
            <w:r w:rsidRPr="1E804D7F">
              <w:rPr>
                <w:rFonts w:cs="Arial"/>
                <w:sz w:val="18"/>
                <w:szCs w:val="18"/>
                <w:lang w:val="et-EE"/>
              </w:rPr>
              <w:t>nt keemiatööstuse toorainena</w:t>
            </w:r>
            <w:r w:rsidR="009F6F96" w:rsidRPr="1E804D7F">
              <w:rPr>
                <w:rFonts w:cs="Arial"/>
                <w:sz w:val="18"/>
                <w:szCs w:val="18"/>
                <w:lang w:val="et-EE"/>
              </w:rPr>
              <w:t>. Teemat on käsitletud</w:t>
            </w:r>
            <w:r w:rsidR="007F1355" w:rsidRPr="1E804D7F">
              <w:rPr>
                <w:rFonts w:cs="Arial"/>
                <w:sz w:val="18"/>
                <w:szCs w:val="18"/>
                <w:lang w:val="et-EE"/>
              </w:rPr>
              <w:t xml:space="preserve"> seonduvas </w:t>
            </w:r>
            <w:proofErr w:type="spellStart"/>
            <w:r w:rsidR="006D5C20" w:rsidRPr="1E804D7F">
              <w:rPr>
                <w:rFonts w:cs="Arial"/>
                <w:sz w:val="18"/>
                <w:szCs w:val="18"/>
                <w:lang w:val="et-EE"/>
              </w:rPr>
              <w:t>Praxis</w:t>
            </w:r>
            <w:proofErr w:type="spellEnd"/>
            <w:r w:rsidR="006D5C20" w:rsidRPr="1E804D7F">
              <w:rPr>
                <w:rFonts w:cs="Arial"/>
                <w:sz w:val="18"/>
                <w:szCs w:val="18"/>
                <w:lang w:val="et-EE"/>
              </w:rPr>
              <w:t xml:space="preserve"> uuring</w:t>
            </w:r>
            <w:r w:rsidR="007F1355" w:rsidRPr="1E804D7F">
              <w:rPr>
                <w:rFonts w:cs="Arial"/>
                <w:sz w:val="18"/>
                <w:szCs w:val="18"/>
                <w:lang w:val="et-EE"/>
              </w:rPr>
              <w:t>us</w:t>
            </w:r>
            <w:r w:rsidR="006D5C20" w:rsidRPr="1E804D7F">
              <w:rPr>
                <w:rFonts w:cs="Arial"/>
                <w:sz w:val="18"/>
                <w:szCs w:val="18"/>
                <w:lang w:val="et-EE"/>
              </w:rPr>
              <w:t xml:space="preserve"> </w:t>
            </w:r>
            <w:r w:rsidR="007F1355" w:rsidRPr="1E804D7F">
              <w:rPr>
                <w:rFonts w:cs="Arial"/>
                <w:sz w:val="18"/>
                <w:szCs w:val="18"/>
                <w:lang w:val="et-EE"/>
              </w:rPr>
              <w:t>„Ida-Virumaa majanduse ja tööturu kohandamine põlevkivitööstuse vähenemisega</w:t>
            </w:r>
            <w:r w:rsidR="006D5C20" w:rsidRPr="1E804D7F">
              <w:rPr>
                <w:rFonts w:cs="Arial"/>
                <w:sz w:val="18"/>
                <w:szCs w:val="18"/>
                <w:lang w:val="et-EE"/>
              </w:rPr>
              <w:t>“</w:t>
            </w:r>
            <w:r w:rsidR="002A1637" w:rsidRPr="1E804D7F">
              <w:rPr>
                <w:rFonts w:cs="Arial"/>
                <w:sz w:val="18"/>
                <w:szCs w:val="18"/>
                <w:lang w:val="et-EE"/>
              </w:rPr>
              <w:t>, koostatud</w:t>
            </w:r>
            <w:r w:rsidR="006D5C20" w:rsidRPr="1E804D7F">
              <w:rPr>
                <w:rFonts w:cs="Arial"/>
                <w:sz w:val="18"/>
                <w:szCs w:val="18"/>
                <w:lang w:val="et-EE"/>
              </w:rPr>
              <w:t xml:space="preserve"> 202</w:t>
            </w:r>
            <w:r w:rsidR="002A1637" w:rsidRPr="1E804D7F">
              <w:rPr>
                <w:rFonts w:cs="Arial"/>
                <w:sz w:val="18"/>
                <w:szCs w:val="18"/>
                <w:lang w:val="et-EE"/>
              </w:rPr>
              <w:t>0. aastal (</w:t>
            </w:r>
            <w:hyperlink r:id="rId11">
              <w:r w:rsidR="002A1637" w:rsidRPr="1E804D7F">
                <w:rPr>
                  <w:rStyle w:val="Hyperlink"/>
                  <w:rFonts w:cs="Arial"/>
                  <w:sz w:val="18"/>
                  <w:szCs w:val="18"/>
                  <w:lang w:val="et-EE"/>
                </w:rPr>
                <w:t>https://www.praxis.ee/tood/ida-virumaa-polevkivitoostuse-vahenemine/</w:t>
              </w:r>
            </w:hyperlink>
            <w:r w:rsidR="002A1637" w:rsidRPr="1E804D7F">
              <w:rPr>
                <w:rFonts w:cs="Arial"/>
                <w:sz w:val="18"/>
                <w:szCs w:val="18"/>
                <w:lang w:val="et-EE"/>
              </w:rPr>
              <w:t>)</w:t>
            </w:r>
            <w:r w:rsidR="5F73B51C" w:rsidRPr="1E804D7F">
              <w:rPr>
                <w:rFonts w:cs="Arial"/>
                <w:sz w:val="18"/>
                <w:szCs w:val="18"/>
                <w:lang w:val="et-EE"/>
              </w:rPr>
              <w:t>.</w:t>
            </w:r>
            <w:r w:rsidR="007C6D9E" w:rsidRPr="1E804D7F">
              <w:rPr>
                <w:rFonts w:cs="Arial"/>
                <w:sz w:val="18"/>
                <w:szCs w:val="18"/>
                <w:lang w:val="et-EE"/>
              </w:rPr>
              <w:t xml:space="preserve"> </w:t>
            </w:r>
            <w:r w:rsidR="0050596F" w:rsidRPr="1E804D7F">
              <w:rPr>
                <w:rFonts w:cs="Arial"/>
                <w:sz w:val="18"/>
                <w:szCs w:val="18"/>
                <w:lang w:val="et-EE"/>
              </w:rPr>
              <w:t xml:space="preserve">Märgime, et </w:t>
            </w:r>
            <w:r w:rsidR="0070484E" w:rsidRPr="1E804D7F">
              <w:rPr>
                <w:rFonts w:cs="Arial"/>
                <w:sz w:val="18"/>
                <w:szCs w:val="18"/>
                <w:lang w:val="et-EE"/>
              </w:rPr>
              <w:t>r</w:t>
            </w:r>
            <w:r w:rsidR="002A1637" w:rsidRPr="1E804D7F">
              <w:rPr>
                <w:rFonts w:cs="Arial"/>
                <w:sz w:val="18"/>
                <w:szCs w:val="18"/>
                <w:lang w:val="et-EE"/>
              </w:rPr>
              <w:t>ohepööre tugineb olulisel määral taastumatutele ressurssidele, sh mineraalne toore magnetite jm tootmiseks</w:t>
            </w:r>
            <w:r w:rsidR="00744EF4" w:rsidRPr="1E804D7F">
              <w:rPr>
                <w:rFonts w:cs="Arial"/>
                <w:sz w:val="18"/>
                <w:szCs w:val="18"/>
                <w:lang w:val="et-EE"/>
              </w:rPr>
              <w:t xml:space="preserve">. </w:t>
            </w:r>
            <w:proofErr w:type="spellStart"/>
            <w:r w:rsidR="00744EF4" w:rsidRPr="1E804D7F">
              <w:rPr>
                <w:rFonts w:cs="Arial"/>
                <w:sz w:val="18"/>
                <w:szCs w:val="18"/>
                <w:lang w:val="et-EE"/>
              </w:rPr>
              <w:t>Praxis</w:t>
            </w:r>
            <w:proofErr w:type="spellEnd"/>
            <w:r w:rsidR="00744EF4" w:rsidRPr="1E804D7F">
              <w:rPr>
                <w:rFonts w:cs="Arial"/>
                <w:sz w:val="18"/>
                <w:szCs w:val="18"/>
                <w:lang w:val="et-EE"/>
              </w:rPr>
              <w:t xml:space="preserve"> u</w:t>
            </w:r>
            <w:r w:rsidR="002A1637" w:rsidRPr="1E804D7F">
              <w:rPr>
                <w:rFonts w:cs="Arial"/>
                <w:sz w:val="18"/>
                <w:szCs w:val="18"/>
                <w:lang w:val="et-EE"/>
              </w:rPr>
              <w:t>uringu poliitikasoovitus nr 4 on „Toetada teadus- ja arendustegevust CO</w:t>
            </w:r>
            <w:r w:rsidR="002A1637" w:rsidRPr="1E804D7F">
              <w:rPr>
                <w:rFonts w:cs="Arial"/>
                <w:sz w:val="18"/>
                <w:szCs w:val="18"/>
                <w:vertAlign w:val="subscript"/>
                <w:lang w:val="et-EE"/>
              </w:rPr>
              <w:t>2</w:t>
            </w:r>
            <w:r w:rsidR="002A1637" w:rsidRPr="1E804D7F">
              <w:rPr>
                <w:rFonts w:cs="Arial"/>
                <w:sz w:val="18"/>
                <w:szCs w:val="18"/>
                <w:lang w:val="et-EE"/>
              </w:rPr>
              <w:t xml:space="preserve">-heite vähendamiseks majandussektorites, sealhulgas põlevkivisektoris, ringmajanduse arendamiseks </w:t>
            </w:r>
            <w:r w:rsidR="002A1637" w:rsidRPr="1E804D7F">
              <w:rPr>
                <w:rFonts w:cs="Arial"/>
                <w:sz w:val="18"/>
                <w:szCs w:val="18"/>
                <w:lang w:val="et-EE"/>
              </w:rPr>
              <w:lastRenderedPageBreak/>
              <w:t xml:space="preserve">ja loodusvarade, eelkõige areneva tehnoloogia jaoks kriitilise tähtsusega muldmetallide kaevandamiseks ja </w:t>
            </w:r>
            <w:proofErr w:type="spellStart"/>
            <w:r w:rsidR="002A1637" w:rsidRPr="1E804D7F">
              <w:rPr>
                <w:rFonts w:cs="Arial"/>
                <w:sz w:val="18"/>
                <w:szCs w:val="18"/>
                <w:lang w:val="et-EE"/>
              </w:rPr>
              <w:t>väärindamiseks</w:t>
            </w:r>
            <w:proofErr w:type="spellEnd"/>
            <w:r w:rsidR="002A1637" w:rsidRPr="1E804D7F">
              <w:rPr>
                <w:rFonts w:cs="Arial"/>
                <w:sz w:val="18"/>
                <w:szCs w:val="18"/>
                <w:lang w:val="et-EE"/>
              </w:rPr>
              <w:t>.“</w:t>
            </w:r>
            <w:r w:rsidR="007C6D9E" w:rsidRPr="1E804D7F">
              <w:rPr>
                <w:rFonts w:cs="Arial"/>
                <w:sz w:val="18"/>
                <w:szCs w:val="18"/>
                <w:lang w:val="et-EE"/>
              </w:rPr>
              <w:t xml:space="preserve"> </w:t>
            </w:r>
          </w:p>
          <w:p w14:paraId="40B7228B" w14:textId="36B56DCD" w:rsidR="0042043A" w:rsidRPr="005E3342" w:rsidRDefault="006E4F54" w:rsidP="00537171">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6A2673FC">
              <w:rPr>
                <w:rFonts w:cs="Arial"/>
                <w:sz w:val="18"/>
                <w:szCs w:val="18"/>
                <w:lang w:val="et-EE"/>
              </w:rPr>
              <w:t xml:space="preserve">Parema loetavuse huvides esitatakse KMH aruande </w:t>
            </w:r>
            <w:proofErr w:type="spellStart"/>
            <w:r w:rsidRPr="6A2673FC">
              <w:rPr>
                <w:rFonts w:cs="Arial"/>
                <w:sz w:val="18"/>
                <w:szCs w:val="18"/>
                <w:lang w:val="et-EE"/>
              </w:rPr>
              <w:t>ptk</w:t>
            </w:r>
            <w:proofErr w:type="spellEnd"/>
            <w:r w:rsidRPr="6A2673FC">
              <w:rPr>
                <w:rFonts w:cs="Arial"/>
                <w:sz w:val="18"/>
                <w:szCs w:val="18"/>
                <w:lang w:val="et-EE"/>
              </w:rPr>
              <w:t xml:space="preserve"> 3 terviklik kaasajastatud kohalduvate strateegiliste dokumentide </w:t>
            </w:r>
            <w:r w:rsidR="007C6D9E" w:rsidRPr="6A2673FC">
              <w:rPr>
                <w:rFonts w:cs="Arial"/>
                <w:sz w:val="18"/>
                <w:szCs w:val="18"/>
                <w:lang w:val="et-EE"/>
              </w:rPr>
              <w:t xml:space="preserve">kokkuvõtlik </w:t>
            </w:r>
            <w:r w:rsidRPr="6A2673FC">
              <w:rPr>
                <w:rFonts w:cs="Arial"/>
                <w:sz w:val="18"/>
                <w:szCs w:val="18"/>
                <w:lang w:val="et-EE"/>
              </w:rPr>
              <w:t>ülevaade</w:t>
            </w:r>
            <w:r w:rsidR="007C6D9E" w:rsidRPr="6A2673FC">
              <w:rPr>
                <w:rFonts w:cs="Arial"/>
                <w:sz w:val="18"/>
                <w:szCs w:val="18"/>
                <w:lang w:val="et-EE"/>
              </w:rPr>
              <w:t xml:space="preserve">. Seejuures on püütud kokkuvõtmisel </w:t>
            </w:r>
            <w:r w:rsidR="009B4A90" w:rsidRPr="6A2673FC">
              <w:rPr>
                <w:rFonts w:cs="Arial"/>
                <w:sz w:val="18"/>
                <w:szCs w:val="18"/>
                <w:lang w:val="et-EE"/>
              </w:rPr>
              <w:t>kasuta</w:t>
            </w:r>
            <w:r w:rsidR="007C6D9E" w:rsidRPr="6A2673FC">
              <w:rPr>
                <w:rFonts w:cs="Arial"/>
                <w:sz w:val="18"/>
                <w:szCs w:val="18"/>
                <w:lang w:val="et-EE"/>
              </w:rPr>
              <w:t>da</w:t>
            </w:r>
            <w:r w:rsidR="009B4A90" w:rsidRPr="6A2673FC">
              <w:rPr>
                <w:rFonts w:cs="Arial"/>
                <w:sz w:val="18"/>
                <w:szCs w:val="18"/>
                <w:lang w:val="et-EE"/>
              </w:rPr>
              <w:t xml:space="preserve"> dokumendi </w:t>
            </w:r>
            <w:r w:rsidR="00EA2D87" w:rsidRPr="6A2673FC">
              <w:rPr>
                <w:rFonts w:cs="Arial"/>
                <w:sz w:val="18"/>
                <w:szCs w:val="18"/>
                <w:lang w:val="et-EE"/>
              </w:rPr>
              <w:t>sõnastust</w:t>
            </w:r>
            <w:r w:rsidR="007C6D9E" w:rsidRPr="6A2673FC">
              <w:rPr>
                <w:rFonts w:cs="Arial"/>
                <w:sz w:val="18"/>
                <w:szCs w:val="18"/>
                <w:lang w:val="et-EE"/>
              </w:rPr>
              <w:t xml:space="preserve">. Põlevkivi edasist kasutamist on käsitletud </w:t>
            </w:r>
            <w:proofErr w:type="spellStart"/>
            <w:r w:rsidR="007C6D9E" w:rsidRPr="6A2673FC">
              <w:rPr>
                <w:rFonts w:cs="Arial"/>
                <w:sz w:val="18"/>
                <w:szCs w:val="18"/>
                <w:lang w:val="et-EE"/>
              </w:rPr>
              <w:t>ptk</w:t>
            </w:r>
            <w:proofErr w:type="spellEnd"/>
            <w:r w:rsidR="007C6D9E" w:rsidRPr="6A2673FC">
              <w:rPr>
                <w:rFonts w:cs="Arial"/>
                <w:sz w:val="18"/>
                <w:szCs w:val="18"/>
                <w:lang w:val="et-EE"/>
              </w:rPr>
              <w:t xml:space="preserve"> 3.1</w:t>
            </w:r>
            <w:r w:rsidR="0011456C" w:rsidRPr="6A2673FC">
              <w:rPr>
                <w:rFonts w:cs="Arial"/>
                <w:sz w:val="18"/>
                <w:szCs w:val="18"/>
                <w:lang w:val="et-EE"/>
              </w:rPr>
              <w:t xml:space="preserve"> </w:t>
            </w:r>
            <w:r w:rsidR="007C6D9E" w:rsidRPr="6A2673FC">
              <w:rPr>
                <w:rFonts w:cs="Arial"/>
                <w:sz w:val="18"/>
                <w:szCs w:val="18"/>
                <w:lang w:val="et-EE"/>
              </w:rPr>
              <w:t xml:space="preserve">koosseisus olevas </w:t>
            </w:r>
            <w:bookmarkStart w:id="2" w:name="_Hlk138165897"/>
            <w:r w:rsidR="007C6D9E" w:rsidRPr="6A2673FC">
              <w:rPr>
                <w:rFonts w:cs="Arial"/>
                <w:sz w:val="18"/>
                <w:szCs w:val="18"/>
                <w:lang w:val="et-EE"/>
              </w:rPr>
              <w:t>Õiglase ülemineku territoriaalses kavas</w:t>
            </w:r>
            <w:bookmarkEnd w:id="2"/>
            <w:r w:rsidR="007C6D9E" w:rsidRPr="6A2673FC">
              <w:rPr>
                <w:rFonts w:cs="Arial"/>
                <w:sz w:val="18"/>
                <w:szCs w:val="18"/>
                <w:lang w:val="et-EE"/>
              </w:rPr>
              <w:t>, mille Vabariigi Valitsus kinnitas 09.06.2022</w:t>
            </w:r>
            <w:r w:rsidR="0011456C" w:rsidRPr="6A2673FC">
              <w:rPr>
                <w:rFonts w:cs="Arial"/>
                <w:sz w:val="18"/>
                <w:szCs w:val="18"/>
                <w:lang w:val="et-EE"/>
              </w:rPr>
              <w:t>.</w:t>
            </w:r>
            <w:r w:rsidR="5A2B5863" w:rsidRPr="6A2673FC">
              <w:rPr>
                <w:rFonts w:cs="Arial"/>
                <w:sz w:val="18"/>
                <w:szCs w:val="18"/>
                <w:lang w:val="et-EE"/>
              </w:rPr>
              <w:t xml:space="preserve"> </w:t>
            </w:r>
            <w:bookmarkStart w:id="3" w:name="_Hlk138164653"/>
            <w:bookmarkStart w:id="4" w:name="_Hlk138168426"/>
            <w:r w:rsidR="005E3342" w:rsidRPr="6A2673FC">
              <w:rPr>
                <w:rFonts w:cs="Arial"/>
                <w:sz w:val="18"/>
                <w:szCs w:val="18"/>
                <w:lang w:val="et-EE"/>
              </w:rPr>
              <w:t>Ülemineku</w:t>
            </w:r>
            <w:r w:rsidR="0008583B" w:rsidRPr="6A2673FC">
              <w:rPr>
                <w:rFonts w:cs="Arial"/>
                <w:sz w:val="18"/>
                <w:szCs w:val="18"/>
                <w:lang w:val="et-EE"/>
              </w:rPr>
              <w:t xml:space="preserve"> käigus võib muuhulgas väheneda põlevkivi </w:t>
            </w:r>
            <w:r w:rsidR="005D3A47" w:rsidRPr="6A2673FC">
              <w:rPr>
                <w:rFonts w:cs="Arial"/>
                <w:sz w:val="18"/>
                <w:szCs w:val="18"/>
                <w:lang w:val="et-EE"/>
              </w:rPr>
              <w:t xml:space="preserve">lubatud </w:t>
            </w:r>
            <w:r w:rsidR="0008583B" w:rsidRPr="6A2673FC">
              <w:rPr>
                <w:rFonts w:cs="Arial"/>
                <w:sz w:val="18"/>
                <w:szCs w:val="18"/>
                <w:lang w:val="et-EE"/>
              </w:rPr>
              <w:t>kaevandatava mahu aastane määr tasemelt 20 mln t</w:t>
            </w:r>
            <w:r w:rsidR="0070484E" w:rsidRPr="6A2673FC">
              <w:rPr>
                <w:rFonts w:cs="Arial"/>
                <w:sz w:val="18"/>
                <w:szCs w:val="18"/>
                <w:lang w:val="et-EE"/>
              </w:rPr>
              <w:t>/a</w:t>
            </w:r>
            <w:r w:rsidR="0008583B" w:rsidRPr="6A2673FC">
              <w:rPr>
                <w:rFonts w:cs="Arial"/>
                <w:sz w:val="18"/>
                <w:szCs w:val="18"/>
                <w:lang w:val="et-EE"/>
              </w:rPr>
              <w:t xml:space="preserve"> mahule alla 10 mln t/a.</w:t>
            </w:r>
            <w:r w:rsidR="00537171" w:rsidRPr="6A2673FC">
              <w:rPr>
                <w:rFonts w:cs="Arial"/>
                <w:sz w:val="18"/>
                <w:szCs w:val="18"/>
                <w:lang w:val="et-EE"/>
              </w:rPr>
              <w:t xml:space="preserve"> Kava ei välista võimalust, et pärast 2040. aastat võidakse põlevkivi kasutada mitteenergeetilisel eesmärgil keemiatööstuse toorainena, kuid igasugune selline tegevus peab olema kooskõlas Eesti eesmärgiga saavutada 2050. aastaks kliimaneutraalsus. </w:t>
            </w:r>
            <w:r w:rsidR="0008583B" w:rsidRPr="6A2673FC">
              <w:rPr>
                <w:rFonts w:cs="Arial"/>
                <w:sz w:val="18"/>
                <w:szCs w:val="18"/>
                <w:lang w:val="et-EE"/>
              </w:rPr>
              <w:t xml:space="preserve">Tegutsema jäävate kaevandustele on väljastatud kaeveload </w:t>
            </w:r>
            <w:r w:rsidR="00537171" w:rsidRPr="6A2673FC">
              <w:rPr>
                <w:rFonts w:cs="Arial"/>
                <w:sz w:val="18"/>
                <w:szCs w:val="18"/>
                <w:lang w:val="et-EE"/>
              </w:rPr>
              <w:t xml:space="preserve">2049. </w:t>
            </w:r>
            <w:r w:rsidR="0008583B" w:rsidRPr="6A2673FC">
              <w:rPr>
                <w:rFonts w:cs="Arial"/>
                <w:sz w:val="18"/>
                <w:szCs w:val="18"/>
                <w:lang w:val="et-EE"/>
              </w:rPr>
              <w:t>aastani</w:t>
            </w:r>
            <w:bookmarkEnd w:id="3"/>
            <w:r w:rsidR="007C6D9E" w:rsidRPr="6A2673FC">
              <w:rPr>
                <w:rFonts w:cs="Arial"/>
                <w:sz w:val="18"/>
                <w:szCs w:val="18"/>
                <w:lang w:val="et-EE"/>
              </w:rPr>
              <w:t xml:space="preserve">. </w:t>
            </w:r>
            <w:bookmarkEnd w:id="4"/>
          </w:p>
        </w:tc>
      </w:tr>
      <w:tr w:rsidR="0042043A" w:rsidRPr="00FD5087" w14:paraId="47B52FF4"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55199EED" w14:textId="74614E0A" w:rsidR="0042043A" w:rsidRPr="00FD5087" w:rsidRDefault="00AC5089" w:rsidP="00AC5089">
            <w:pPr>
              <w:spacing w:beforeLines="60" w:before="144"/>
              <w:rPr>
                <w:rFonts w:cs="Arial"/>
                <w:sz w:val="18"/>
                <w:szCs w:val="18"/>
                <w:lang w:val="et-EE"/>
              </w:rPr>
            </w:pPr>
            <w:r w:rsidRPr="00FD5087">
              <w:rPr>
                <w:rFonts w:cs="Arial"/>
                <w:bCs w:val="0"/>
                <w:sz w:val="18"/>
                <w:szCs w:val="18"/>
                <w:lang w:val="et-EE"/>
              </w:rPr>
              <w:lastRenderedPageBreak/>
              <w:t xml:space="preserve">2e. </w:t>
            </w:r>
            <w:proofErr w:type="spellStart"/>
            <w:r w:rsidRPr="00FD5087">
              <w:rPr>
                <w:rFonts w:cs="Arial"/>
                <w:sz w:val="18"/>
                <w:szCs w:val="18"/>
                <w:lang w:val="et-EE"/>
              </w:rPr>
              <w:t>Auvere</w:t>
            </w:r>
            <w:proofErr w:type="spellEnd"/>
            <w:r w:rsidRPr="00FD5087">
              <w:rPr>
                <w:rFonts w:cs="Arial"/>
                <w:sz w:val="18"/>
                <w:szCs w:val="18"/>
                <w:lang w:val="et-EE"/>
              </w:rPr>
              <w:t xml:space="preserve"> KSH aruandes on hinnatud </w:t>
            </w:r>
            <w:proofErr w:type="spellStart"/>
            <w:r w:rsidRPr="00FD5087">
              <w:rPr>
                <w:rFonts w:cs="Arial"/>
                <w:sz w:val="18"/>
                <w:szCs w:val="18"/>
                <w:lang w:val="et-EE"/>
              </w:rPr>
              <w:t>õlitööstuse</w:t>
            </w:r>
            <w:proofErr w:type="spellEnd"/>
            <w:r w:rsidRPr="00FD5087">
              <w:rPr>
                <w:rFonts w:cs="Arial"/>
                <w:sz w:val="18"/>
                <w:szCs w:val="18"/>
                <w:lang w:val="et-EE"/>
              </w:rPr>
              <w:t xml:space="preserve"> laiendamise kooskõla </w:t>
            </w:r>
            <w:r w:rsidRPr="00FD5087">
              <w:rPr>
                <w:rFonts w:cs="Arial"/>
                <w:b/>
                <w:bCs w:val="0"/>
                <w:sz w:val="18"/>
                <w:szCs w:val="18"/>
                <w:lang w:val="et-EE"/>
              </w:rPr>
              <w:t>põlevkivi kasutamise arengukavaga 2016–2030</w:t>
            </w:r>
            <w:r w:rsidRPr="00FD5087">
              <w:rPr>
                <w:rFonts w:cs="Arial"/>
                <w:sz w:val="18"/>
                <w:szCs w:val="18"/>
                <w:lang w:val="et-EE"/>
              </w:rPr>
              <w:t>, sellele on täiendava analüüsita viidatud KMH programmis (lk 15)</w:t>
            </w:r>
            <w:r w:rsidRPr="00FD5087">
              <w:rPr>
                <w:rFonts w:cs="Arial"/>
                <w:bCs w:val="0"/>
                <w:sz w:val="18"/>
                <w:szCs w:val="18"/>
                <w:lang w:val="et-EE"/>
              </w:rPr>
              <w:t xml:space="preserve"> </w:t>
            </w:r>
            <w:r w:rsidRPr="00FD5087">
              <w:rPr>
                <w:rFonts w:cs="Arial"/>
                <w:sz w:val="18"/>
                <w:szCs w:val="18"/>
                <w:lang w:val="et-EE"/>
              </w:rPr>
              <w:t xml:space="preserve">ning sellele omakorda KMH aruandes (lk 13 ja 20). 2022. aastal </w:t>
            </w:r>
            <w:r w:rsidRPr="00FD5087">
              <w:rPr>
                <w:rFonts w:cs="Arial"/>
                <w:bCs w:val="0"/>
                <w:sz w:val="18"/>
                <w:szCs w:val="18"/>
                <w:lang w:val="et-EE"/>
              </w:rPr>
              <w:t xml:space="preserve"> a</w:t>
            </w:r>
            <w:r w:rsidRPr="00FD5087">
              <w:rPr>
                <w:rFonts w:cs="Arial"/>
                <w:sz w:val="18"/>
                <w:szCs w:val="18"/>
                <w:lang w:val="et-EE"/>
              </w:rPr>
              <w:t>valikustas</w:t>
            </w:r>
            <w:r w:rsidRPr="00FD5087">
              <w:rPr>
                <w:rFonts w:cs="Arial"/>
                <w:bCs w:val="0"/>
                <w:sz w:val="18"/>
                <w:szCs w:val="18"/>
                <w:lang w:val="et-EE"/>
              </w:rPr>
              <w:t xml:space="preserve"> </w:t>
            </w:r>
            <w:r w:rsidRPr="00FD5087">
              <w:rPr>
                <w:rFonts w:cs="Arial"/>
                <w:sz w:val="18"/>
                <w:szCs w:val="18"/>
                <w:lang w:val="et-EE"/>
              </w:rPr>
              <w:t>Keskkonnaministeerium aga selle arengukava tulemuste analüüsi, milles tuuakse mh välja</w:t>
            </w:r>
            <w:r w:rsidRPr="00FD5087">
              <w:rPr>
                <w:rFonts w:cs="Arial"/>
                <w:bCs w:val="0"/>
                <w:sz w:val="18"/>
                <w:szCs w:val="18"/>
                <w:lang w:val="et-EE"/>
              </w:rPr>
              <w:t xml:space="preserve"> </w:t>
            </w:r>
            <w:r w:rsidRPr="00FD5087">
              <w:rPr>
                <w:rFonts w:cs="Arial"/>
                <w:sz w:val="18"/>
                <w:szCs w:val="18"/>
                <w:lang w:val="et-EE"/>
              </w:rPr>
              <w:t xml:space="preserve">vajadus arengukava ajakohastada ning </w:t>
            </w:r>
            <w:r w:rsidRPr="00FD5087">
              <w:rPr>
                <w:rFonts w:cs="Arial"/>
                <w:sz w:val="18"/>
                <w:szCs w:val="18"/>
                <w:u w:val="single"/>
                <w:lang w:val="et-EE"/>
              </w:rPr>
              <w:t>seada uusi sihttasemeid ja mõõdikuid</w:t>
            </w:r>
            <w:r w:rsidRPr="00FD5087">
              <w:rPr>
                <w:rFonts w:cs="Arial"/>
                <w:sz w:val="18"/>
                <w:szCs w:val="18"/>
                <w:lang w:val="et-EE"/>
              </w:rPr>
              <w:t xml:space="preserve"> (tulemuste</w:t>
            </w:r>
            <w:r w:rsidRPr="00FD5087">
              <w:rPr>
                <w:rFonts w:cs="Arial"/>
                <w:bCs w:val="0"/>
                <w:sz w:val="18"/>
                <w:szCs w:val="18"/>
                <w:lang w:val="et-EE"/>
              </w:rPr>
              <w:t xml:space="preserve"> </w:t>
            </w:r>
            <w:r w:rsidRPr="00FD5087">
              <w:rPr>
                <w:rFonts w:cs="Arial"/>
                <w:sz w:val="18"/>
                <w:szCs w:val="18"/>
                <w:lang w:val="et-EE"/>
              </w:rPr>
              <w:t>analüüs lk 32). Sealjuures on öeldud: “Põlevkivi valdkonna mõjunäitajate seadmisel aastaks</w:t>
            </w:r>
            <w:r w:rsidRPr="00FD5087">
              <w:rPr>
                <w:rFonts w:cs="Arial"/>
                <w:bCs w:val="0"/>
                <w:sz w:val="18"/>
                <w:szCs w:val="18"/>
                <w:lang w:val="et-EE"/>
              </w:rPr>
              <w:t xml:space="preserve"> </w:t>
            </w:r>
            <w:r w:rsidRPr="00FD5087">
              <w:rPr>
                <w:rFonts w:cs="Arial"/>
                <w:sz w:val="18"/>
                <w:szCs w:val="18"/>
                <w:lang w:val="et-EE"/>
              </w:rPr>
              <w:t>2030 tuleb põlevkivi kaevandamise ja kasutamise keskkonnamõju käsitleda terviklikult, võttes</w:t>
            </w:r>
            <w:r w:rsidRPr="00FD5087">
              <w:rPr>
                <w:rFonts w:cs="Arial"/>
                <w:bCs w:val="0"/>
                <w:sz w:val="18"/>
                <w:szCs w:val="18"/>
                <w:lang w:val="et-EE"/>
              </w:rPr>
              <w:t xml:space="preserve"> </w:t>
            </w:r>
            <w:r w:rsidRPr="00FD5087">
              <w:rPr>
                <w:rFonts w:cs="Arial"/>
                <w:sz w:val="18"/>
                <w:szCs w:val="18"/>
                <w:lang w:val="et-EE"/>
              </w:rPr>
              <w:t xml:space="preserve">arvesse põlevkivi kaevandamisel ja </w:t>
            </w:r>
            <w:r w:rsidRPr="00FD5087">
              <w:rPr>
                <w:rFonts w:cs="Arial"/>
                <w:sz w:val="18"/>
                <w:szCs w:val="18"/>
                <w:u w:val="single"/>
                <w:lang w:val="et-EE"/>
              </w:rPr>
              <w:t>kasutamisel</w:t>
            </w:r>
            <w:r w:rsidRPr="00FD5087">
              <w:rPr>
                <w:rFonts w:cs="Arial"/>
                <w:sz w:val="18"/>
                <w:szCs w:val="18"/>
                <w:lang w:val="et-EE"/>
              </w:rPr>
              <w:t xml:space="preserve"> tekkivate saasteainete väljutamist </w:t>
            </w:r>
            <w:r w:rsidRPr="00FD5087">
              <w:rPr>
                <w:rFonts w:cs="Arial"/>
                <w:sz w:val="18"/>
                <w:szCs w:val="18"/>
                <w:u w:val="single"/>
                <w:lang w:val="et-EE"/>
              </w:rPr>
              <w:t>välisõhku</w:t>
            </w:r>
            <w:r w:rsidRPr="00FD5087">
              <w:rPr>
                <w:rFonts w:cs="Arial"/>
                <w:sz w:val="18"/>
                <w:szCs w:val="18"/>
                <w:lang w:val="et-EE"/>
              </w:rPr>
              <w:t>,</w:t>
            </w:r>
            <w:r w:rsidRPr="00FD5087">
              <w:rPr>
                <w:rFonts w:cs="Arial"/>
                <w:bCs w:val="0"/>
                <w:sz w:val="18"/>
                <w:szCs w:val="18"/>
                <w:lang w:val="et-EE"/>
              </w:rPr>
              <w:t xml:space="preserve"> </w:t>
            </w:r>
            <w:r w:rsidRPr="00FD5087">
              <w:rPr>
                <w:rFonts w:cs="Arial"/>
                <w:sz w:val="18"/>
                <w:szCs w:val="18"/>
                <w:lang w:val="et-EE"/>
              </w:rPr>
              <w:t>veekogusse, põhjavette või pinnasesse” (lisatud rõhutus, tulemuste analüüs lk 32).</w:t>
            </w:r>
            <w:r w:rsidRPr="00FD5087">
              <w:rPr>
                <w:rFonts w:cs="Arial"/>
                <w:bCs w:val="0"/>
                <w:sz w:val="18"/>
                <w:szCs w:val="18"/>
                <w:lang w:val="et-EE"/>
              </w:rPr>
              <w:t xml:space="preserve"> </w:t>
            </w:r>
            <w:r w:rsidRPr="00FD5087">
              <w:rPr>
                <w:rFonts w:cs="Arial"/>
                <w:sz w:val="18"/>
                <w:szCs w:val="18"/>
                <w:lang w:val="et-EE"/>
              </w:rPr>
              <w:t>Arvestades õlitehase olulist kaudset keskkonnamõju, eeskätt mõju kliimale, mõjutab</w:t>
            </w:r>
            <w:r w:rsidRPr="00FD5087">
              <w:rPr>
                <w:rFonts w:cs="Arial"/>
                <w:bCs w:val="0"/>
                <w:sz w:val="18"/>
                <w:szCs w:val="18"/>
                <w:lang w:val="et-EE"/>
              </w:rPr>
              <w:t xml:space="preserve"> </w:t>
            </w:r>
            <w:r w:rsidRPr="00FD5087">
              <w:rPr>
                <w:rFonts w:cs="Arial"/>
                <w:sz w:val="18"/>
                <w:szCs w:val="18"/>
                <w:lang w:val="et-EE"/>
              </w:rPr>
              <w:t xml:space="preserve">arengukava ajakohastamine ilmselt Enefit280-2 seadme tööd. </w:t>
            </w:r>
            <w:r w:rsidRPr="00FD5087">
              <w:rPr>
                <w:rFonts w:cs="Arial"/>
                <w:b/>
                <w:bCs w:val="0"/>
                <w:sz w:val="18"/>
                <w:szCs w:val="18"/>
                <w:lang w:val="et-EE"/>
              </w:rPr>
              <w:t xml:space="preserve">Seepärast palume täiendada KMH aruannet infoga, et põlevkivi kasutamise riiklik arengukava 2016–2030 on sisuliselt aegunud, seda on vaja ajakohastada ning et ajakohastamise käigus võidakse seada senisest kõrgemad </w:t>
            </w:r>
            <w:r w:rsidRPr="00FD5087">
              <w:rPr>
                <w:rFonts w:cs="Arial"/>
                <w:b/>
                <w:bCs w:val="0"/>
                <w:sz w:val="18"/>
                <w:szCs w:val="18"/>
                <w:lang w:val="et-EE"/>
              </w:rPr>
              <w:lastRenderedPageBreak/>
              <w:t>keskkonnaeesmärgid, mis võivad mõjutada õlitehase käitamist.</w:t>
            </w:r>
          </w:p>
        </w:tc>
        <w:tc>
          <w:tcPr>
            <w:tcW w:w="7377" w:type="dxa"/>
            <w:shd w:val="clear" w:color="auto" w:fill="FFFFFF" w:themeFill="background1"/>
            <w:vAlign w:val="top"/>
          </w:tcPr>
          <w:p w14:paraId="01466F18" w14:textId="14BECAC7" w:rsidR="00757F8B" w:rsidRPr="0074496C" w:rsidRDefault="009B4A90" w:rsidP="009647D3">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74496C">
              <w:rPr>
                <w:rFonts w:cs="Arial"/>
                <w:sz w:val="18"/>
                <w:szCs w:val="18"/>
                <w:lang w:val="et-EE"/>
              </w:rPr>
              <w:lastRenderedPageBreak/>
              <w:t>Aruande koostajatel puudub pädevus hindamaks</w:t>
            </w:r>
            <w:r w:rsidR="00B666C8">
              <w:rPr>
                <w:rFonts w:cs="Arial"/>
                <w:sz w:val="18"/>
                <w:szCs w:val="18"/>
                <w:lang w:val="et-EE"/>
              </w:rPr>
              <w:t>,</w:t>
            </w:r>
            <w:r w:rsidRPr="0074496C">
              <w:rPr>
                <w:rFonts w:cs="Arial"/>
                <w:sz w:val="18"/>
                <w:szCs w:val="18"/>
                <w:lang w:val="et-EE"/>
              </w:rPr>
              <w:t xml:space="preserve"> kas põlevkivi kasutamise arengukava 2016-2030 on sisuliselt aegunud või mitte.</w:t>
            </w:r>
            <w:r w:rsidR="00BA7440" w:rsidRPr="0074496C">
              <w:rPr>
                <w:rFonts w:cs="Arial"/>
                <w:sz w:val="18"/>
                <w:szCs w:val="18"/>
                <w:lang w:val="et-EE"/>
              </w:rPr>
              <w:t xml:space="preserve"> Strateegia „Eesti 2035“ viitab </w:t>
            </w:r>
            <w:r w:rsidR="00DA7348" w:rsidRPr="0074496C">
              <w:rPr>
                <w:rFonts w:cs="Arial"/>
                <w:sz w:val="18"/>
                <w:szCs w:val="18"/>
                <w:lang w:val="et-EE"/>
              </w:rPr>
              <w:t xml:space="preserve">veebilehel </w:t>
            </w:r>
            <w:r w:rsidR="00BA7440" w:rsidRPr="0074496C">
              <w:rPr>
                <w:rFonts w:cs="Arial"/>
                <w:sz w:val="18"/>
                <w:szCs w:val="18"/>
                <w:lang w:val="et-EE"/>
              </w:rPr>
              <w:t>sellele kui strateegilisele dokumendile, millega tuleb põlevkivi kaevandamisel ja edasisel kasutamisel arvestada.</w:t>
            </w:r>
            <w:r w:rsidRPr="0074496C">
              <w:rPr>
                <w:rFonts w:cs="Arial"/>
                <w:sz w:val="18"/>
                <w:szCs w:val="18"/>
                <w:lang w:val="et-EE"/>
              </w:rPr>
              <w:t xml:space="preserve"> Mis puudutab sihttasemeid ja mõõdikuid, siis</w:t>
            </w:r>
            <w:r w:rsidR="0B9FD85B" w:rsidRPr="0074496C">
              <w:rPr>
                <w:rFonts w:cs="Arial"/>
                <w:sz w:val="18"/>
                <w:szCs w:val="18"/>
                <w:lang w:val="et-EE"/>
              </w:rPr>
              <w:t xml:space="preserve"> </w:t>
            </w:r>
            <w:r w:rsidRPr="0074496C">
              <w:rPr>
                <w:rFonts w:cs="Arial"/>
                <w:sz w:val="18"/>
                <w:szCs w:val="18"/>
                <w:lang w:val="et-EE"/>
              </w:rPr>
              <w:t>nende perioodiline ülevaatamine on tavapärane</w:t>
            </w:r>
            <w:r w:rsidR="2D16F977" w:rsidRPr="0074496C">
              <w:rPr>
                <w:rFonts w:cs="Arial"/>
                <w:sz w:val="18"/>
                <w:szCs w:val="18"/>
                <w:lang w:val="et-EE"/>
              </w:rPr>
              <w:t>.</w:t>
            </w:r>
            <w:r w:rsidR="7ECA78EF" w:rsidRPr="0074496C">
              <w:rPr>
                <w:rFonts w:cs="Arial"/>
                <w:sz w:val="18"/>
                <w:szCs w:val="18"/>
                <w:lang w:val="et-EE"/>
              </w:rPr>
              <w:t xml:space="preserve"> </w:t>
            </w:r>
            <w:r w:rsidRPr="0074496C">
              <w:rPr>
                <w:rFonts w:cs="Arial"/>
                <w:sz w:val="18"/>
                <w:szCs w:val="18"/>
                <w:lang w:val="et-EE"/>
              </w:rPr>
              <w:t>Kasutatavate tehnikate arengute puhul on põhjendatud uute sihttasemete ja vajadusel ka mõõdikute kehtestamine, samas puudub aruande koostajatel täna informatsioon, mis võimaldaks arutleda võimalike uute sihttasemete, nendega seonduvate mõõdikute ja nende võimaliku mõju osas õlitehase käitamisele.</w:t>
            </w:r>
          </w:p>
          <w:p w14:paraId="52F2CD27" w14:textId="73665249" w:rsidR="00BA7440" w:rsidRPr="00FD5087" w:rsidRDefault="00BA7440" w:rsidP="009647D3">
            <w:pPr>
              <w:spacing w:beforeLines="60" w:before="144"/>
              <w:cnfStyle w:val="000000100000" w:firstRow="0" w:lastRow="0" w:firstColumn="0" w:lastColumn="0" w:oddVBand="0" w:evenVBand="0" w:oddHBand="1" w:evenHBand="0" w:firstRowFirstColumn="0" w:firstRowLastColumn="0" w:lastRowFirstColumn="0" w:lastRowLastColumn="0"/>
              <w:rPr>
                <w:rFonts w:cs="Arial"/>
                <w:color w:val="FF0000"/>
                <w:sz w:val="18"/>
                <w:szCs w:val="18"/>
                <w:lang w:val="et-EE"/>
              </w:rPr>
            </w:pPr>
            <w:r w:rsidRPr="0074496C">
              <w:rPr>
                <w:rFonts w:cs="Arial"/>
                <w:sz w:val="18"/>
                <w:szCs w:val="18"/>
                <w:lang w:val="et-EE"/>
              </w:rPr>
              <w:t>KMH aruannet selle konkreetse ettepaneku alusel ei täiendata</w:t>
            </w:r>
            <w:r w:rsidR="005D3A47" w:rsidRPr="0074496C">
              <w:rPr>
                <w:rFonts w:cs="Arial"/>
                <w:sz w:val="18"/>
                <w:szCs w:val="18"/>
                <w:lang w:val="et-EE"/>
              </w:rPr>
              <w:t>, kuid</w:t>
            </w:r>
            <w:r w:rsidR="00DA7348" w:rsidRPr="0074496C">
              <w:rPr>
                <w:rFonts w:cs="Arial"/>
                <w:sz w:val="18"/>
                <w:szCs w:val="18"/>
                <w:lang w:val="et-EE"/>
              </w:rPr>
              <w:t xml:space="preserve"> tuleb märkida, et eelnevalt viidatud KMH aruande </w:t>
            </w:r>
            <w:proofErr w:type="spellStart"/>
            <w:r w:rsidR="00DA7348" w:rsidRPr="0074496C">
              <w:rPr>
                <w:rFonts w:cs="Arial"/>
                <w:sz w:val="18"/>
                <w:szCs w:val="18"/>
                <w:lang w:val="et-EE"/>
              </w:rPr>
              <w:t>ptk</w:t>
            </w:r>
            <w:proofErr w:type="spellEnd"/>
            <w:r w:rsidR="00DA7348" w:rsidRPr="0074496C">
              <w:rPr>
                <w:rFonts w:cs="Arial"/>
                <w:sz w:val="18"/>
                <w:szCs w:val="18"/>
                <w:lang w:val="et-EE"/>
              </w:rPr>
              <w:t xml:space="preserve"> 3 strateegili</w:t>
            </w:r>
            <w:r w:rsidR="005E3342" w:rsidRPr="0074496C">
              <w:rPr>
                <w:rFonts w:cs="Arial"/>
                <w:sz w:val="18"/>
                <w:szCs w:val="18"/>
                <w:lang w:val="et-EE"/>
              </w:rPr>
              <w:t>s</w:t>
            </w:r>
            <w:r w:rsidR="00DA7348" w:rsidRPr="0074496C">
              <w:rPr>
                <w:rFonts w:cs="Arial"/>
                <w:sz w:val="18"/>
                <w:szCs w:val="18"/>
                <w:lang w:val="et-EE"/>
              </w:rPr>
              <w:t>te dokumentide koondülevaate koostamisel</w:t>
            </w:r>
            <w:r w:rsidR="005D3A47" w:rsidRPr="0074496C">
              <w:rPr>
                <w:rFonts w:cs="Arial"/>
                <w:sz w:val="18"/>
                <w:szCs w:val="18"/>
                <w:lang w:val="et-EE"/>
              </w:rPr>
              <w:t xml:space="preserve"> </w:t>
            </w:r>
            <w:r w:rsidR="00DA7348" w:rsidRPr="0074496C">
              <w:rPr>
                <w:rFonts w:cs="Arial"/>
                <w:sz w:val="18"/>
                <w:szCs w:val="18"/>
                <w:lang w:val="et-EE"/>
              </w:rPr>
              <w:t>ei osutunud Põlevkivi kasutamise arengukavale viitamine enam vajalikuks – ajaliselt viimaseks dokumendiks on Õiglase ülemineku territoriaalne kava (vt vastus punk</w:t>
            </w:r>
            <w:r w:rsidR="003B5CC6" w:rsidRPr="0074496C">
              <w:rPr>
                <w:rFonts w:cs="Arial"/>
                <w:sz w:val="18"/>
                <w:szCs w:val="18"/>
                <w:lang w:val="et-EE"/>
              </w:rPr>
              <w:t>ti</w:t>
            </w:r>
            <w:r w:rsidR="00DA7348" w:rsidRPr="0074496C">
              <w:rPr>
                <w:rFonts w:cs="Arial"/>
                <w:sz w:val="18"/>
                <w:szCs w:val="18"/>
                <w:lang w:val="et-EE"/>
              </w:rPr>
              <w:t>le 2.d)</w:t>
            </w:r>
            <w:r w:rsidRPr="0074496C">
              <w:rPr>
                <w:rFonts w:cs="Arial"/>
                <w:sz w:val="18"/>
                <w:szCs w:val="18"/>
                <w:lang w:val="et-EE"/>
              </w:rPr>
              <w:t>.</w:t>
            </w:r>
          </w:p>
        </w:tc>
      </w:tr>
      <w:tr w:rsidR="0042043A" w:rsidRPr="00FD5087" w14:paraId="2AA35006"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0CFD74DE" w14:textId="414A02DE" w:rsidR="0042043A" w:rsidRPr="00FD5087" w:rsidRDefault="00F41CFC" w:rsidP="00F41CFC">
            <w:pPr>
              <w:spacing w:beforeLines="60" w:before="144"/>
              <w:rPr>
                <w:rFonts w:cs="Arial"/>
                <w:sz w:val="18"/>
                <w:szCs w:val="18"/>
                <w:lang w:val="et-EE"/>
              </w:rPr>
            </w:pPr>
            <w:r w:rsidRPr="00FD5087">
              <w:rPr>
                <w:rFonts w:cs="Arial"/>
                <w:sz w:val="18"/>
                <w:szCs w:val="18"/>
                <w:lang w:val="et-EE"/>
              </w:rPr>
              <w:t xml:space="preserve">2f. </w:t>
            </w:r>
            <w:r w:rsidRPr="00FD5087">
              <w:rPr>
                <w:rFonts w:cs="Arial"/>
                <w:b/>
                <w:bCs w:val="0"/>
                <w:sz w:val="18"/>
                <w:szCs w:val="18"/>
                <w:lang w:val="et-EE"/>
              </w:rPr>
              <w:t>Palume KMH aruandes selgelt kirjeldada</w:t>
            </w:r>
            <w:r w:rsidRPr="00FD5087">
              <w:rPr>
                <w:rFonts w:cs="Arial"/>
                <w:sz w:val="18"/>
                <w:szCs w:val="18"/>
                <w:lang w:val="et-EE"/>
              </w:rPr>
              <w:t>, kas ja kuivõrd kavandatav tegevus hõlbustab või</w:t>
            </w:r>
            <w:r w:rsidRPr="00FD5087">
              <w:rPr>
                <w:rFonts w:cs="Arial"/>
                <w:bCs w:val="0"/>
                <w:sz w:val="18"/>
                <w:szCs w:val="18"/>
                <w:lang w:val="et-EE"/>
              </w:rPr>
              <w:t xml:space="preserve"> </w:t>
            </w:r>
            <w:r w:rsidRPr="00FD5087">
              <w:rPr>
                <w:rFonts w:cs="Arial"/>
                <w:sz w:val="18"/>
                <w:szCs w:val="18"/>
                <w:lang w:val="et-EE"/>
              </w:rPr>
              <w:t xml:space="preserve">halvendab kehtivast </w:t>
            </w:r>
            <w:proofErr w:type="spellStart"/>
            <w:r w:rsidRPr="00FD5087">
              <w:rPr>
                <w:rFonts w:cs="Arial"/>
                <w:sz w:val="18"/>
                <w:szCs w:val="18"/>
                <w:lang w:val="et-EE"/>
              </w:rPr>
              <w:t>EnKS</w:t>
            </w:r>
            <w:proofErr w:type="spellEnd"/>
            <w:r w:rsidRPr="00FD5087">
              <w:rPr>
                <w:rFonts w:cs="Arial"/>
                <w:sz w:val="18"/>
                <w:szCs w:val="18"/>
                <w:lang w:val="et-EE"/>
              </w:rPr>
              <w:t xml:space="preserve">-st tuleneva </w:t>
            </w:r>
            <w:r w:rsidRPr="00FD5087">
              <w:rPr>
                <w:rFonts w:cs="Arial"/>
                <w:b/>
                <w:bCs w:val="0"/>
                <w:sz w:val="18"/>
                <w:szCs w:val="18"/>
                <w:lang w:val="et-EE"/>
              </w:rPr>
              <w:t>riikliku taastuvenergia eesmärgi</w:t>
            </w:r>
            <w:r w:rsidRPr="00FD5087">
              <w:rPr>
                <w:rFonts w:cs="Arial"/>
                <w:sz w:val="18"/>
                <w:szCs w:val="18"/>
                <w:lang w:val="et-EE"/>
              </w:rPr>
              <w:t xml:space="preserve"> – aastaks 2030</w:t>
            </w:r>
            <w:r w:rsidRPr="00FD5087">
              <w:rPr>
                <w:rFonts w:cs="Arial"/>
                <w:bCs w:val="0"/>
                <w:sz w:val="18"/>
                <w:szCs w:val="18"/>
                <w:lang w:val="et-EE"/>
              </w:rPr>
              <w:t xml:space="preserve"> </w:t>
            </w:r>
            <w:r w:rsidRPr="00FD5087">
              <w:rPr>
                <w:rFonts w:cs="Arial"/>
                <w:sz w:val="18"/>
                <w:szCs w:val="18"/>
                <w:lang w:val="et-EE"/>
              </w:rPr>
              <w:t>toota kogu Eestis tarbitav elekter taastuvatest energiaallikatest – saavutamist. Praegu jääb</w:t>
            </w:r>
            <w:r w:rsidRPr="00FD5087">
              <w:rPr>
                <w:rFonts w:cs="Arial"/>
                <w:bCs w:val="0"/>
                <w:sz w:val="18"/>
                <w:szCs w:val="18"/>
                <w:lang w:val="et-EE"/>
              </w:rPr>
              <w:t xml:space="preserve"> </w:t>
            </w:r>
            <w:r w:rsidRPr="00FD5087">
              <w:rPr>
                <w:rFonts w:cs="Arial"/>
                <w:sz w:val="18"/>
                <w:szCs w:val="18"/>
                <w:lang w:val="et-EE"/>
              </w:rPr>
              <w:t>see aruandes arusaamatuks.</w:t>
            </w:r>
          </w:p>
        </w:tc>
        <w:tc>
          <w:tcPr>
            <w:tcW w:w="7377" w:type="dxa"/>
            <w:shd w:val="clear" w:color="auto" w:fill="FFFFFF" w:themeFill="background1"/>
            <w:vAlign w:val="top"/>
          </w:tcPr>
          <w:p w14:paraId="21874219" w14:textId="7EC1E8A3" w:rsidR="00442901" w:rsidRPr="00FD5087" w:rsidRDefault="00161490" w:rsidP="4E2C0005">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4E2C0005">
              <w:rPr>
                <w:rFonts w:cs="Arial"/>
                <w:sz w:val="18"/>
                <w:szCs w:val="18"/>
                <w:lang w:val="et-EE"/>
              </w:rPr>
              <w:t>Kavandatav tegevus ei mõjuta riikliku taastuve</w:t>
            </w:r>
            <w:r w:rsidR="00BA7440" w:rsidRPr="4E2C0005">
              <w:rPr>
                <w:rFonts w:cs="Arial"/>
                <w:sz w:val="18"/>
                <w:szCs w:val="18"/>
                <w:lang w:val="et-EE"/>
              </w:rPr>
              <w:t>lektri</w:t>
            </w:r>
            <w:r w:rsidRPr="4E2C0005">
              <w:rPr>
                <w:rFonts w:cs="Arial"/>
                <w:sz w:val="18"/>
                <w:szCs w:val="18"/>
                <w:lang w:val="et-EE"/>
              </w:rPr>
              <w:t xml:space="preserve"> eesmärgi saavutamist, kuna tegemist on absoluutväärtuses eesmärgiga ning kui toodetud taastuv</w:t>
            </w:r>
            <w:r w:rsidR="00BA7440" w:rsidRPr="4E2C0005">
              <w:rPr>
                <w:rFonts w:cs="Arial"/>
                <w:sz w:val="18"/>
                <w:szCs w:val="18"/>
                <w:lang w:val="et-EE"/>
              </w:rPr>
              <w:t>elektri</w:t>
            </w:r>
            <w:r w:rsidRPr="4E2C0005">
              <w:rPr>
                <w:rFonts w:cs="Arial"/>
                <w:sz w:val="18"/>
                <w:szCs w:val="18"/>
                <w:lang w:val="et-EE"/>
              </w:rPr>
              <w:t xml:space="preserve"> aastane kogus on suurem, kui Eesti aastane </w:t>
            </w:r>
            <w:r w:rsidR="00BA7440" w:rsidRPr="4E2C0005">
              <w:rPr>
                <w:rFonts w:cs="Arial"/>
                <w:sz w:val="18"/>
                <w:szCs w:val="18"/>
                <w:lang w:val="et-EE"/>
              </w:rPr>
              <w:t>elektri</w:t>
            </w:r>
            <w:r w:rsidR="1BFF8E32" w:rsidRPr="4E2C0005">
              <w:rPr>
                <w:rFonts w:cs="Arial"/>
                <w:sz w:val="18"/>
                <w:szCs w:val="18"/>
                <w:lang w:val="et-EE"/>
              </w:rPr>
              <w:t xml:space="preserve"> </w:t>
            </w:r>
            <w:r w:rsidRPr="4E2C0005">
              <w:rPr>
                <w:rFonts w:cs="Arial"/>
                <w:sz w:val="18"/>
                <w:szCs w:val="18"/>
                <w:lang w:val="et-EE"/>
              </w:rPr>
              <w:t>tarbimine, siis on eesmärk täidetud, hoolimata sellest</w:t>
            </w:r>
            <w:r w:rsidR="00B666C8">
              <w:rPr>
                <w:rFonts w:cs="Arial"/>
                <w:sz w:val="18"/>
                <w:szCs w:val="18"/>
                <w:lang w:val="et-EE"/>
              </w:rPr>
              <w:t>,</w:t>
            </w:r>
            <w:r w:rsidRPr="4E2C0005">
              <w:rPr>
                <w:rFonts w:cs="Arial"/>
                <w:sz w:val="18"/>
                <w:szCs w:val="18"/>
                <w:lang w:val="et-EE"/>
              </w:rPr>
              <w:t xml:space="preserve"> kas või kui palju toodetakse elektrit mittetaastuvatest allikatest lisaks.</w:t>
            </w:r>
          </w:p>
          <w:p w14:paraId="042512DB" w14:textId="56365E06" w:rsidR="00442901" w:rsidRDefault="00BA7440" w:rsidP="4E2C0005">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4E2C0005">
              <w:rPr>
                <w:rFonts w:cs="Arial"/>
                <w:sz w:val="18"/>
                <w:szCs w:val="18"/>
                <w:lang w:val="et-EE"/>
              </w:rPr>
              <w:t>Oluline on antud juhul rõhutada ka seda, et õlitehases jääksoojusest toodetav elekter kvalifitseerub kütusevabaks elektritootmiseks, millega seonduv CO</w:t>
            </w:r>
            <w:r w:rsidRPr="00BA7440">
              <w:rPr>
                <w:rFonts w:cs="Arial"/>
                <w:sz w:val="18"/>
                <w:szCs w:val="18"/>
                <w:vertAlign w:val="subscript"/>
                <w:lang w:val="et-EE"/>
              </w:rPr>
              <w:t xml:space="preserve">2 </w:t>
            </w:r>
            <w:r w:rsidRPr="4E2C0005">
              <w:rPr>
                <w:rFonts w:cs="Arial"/>
                <w:sz w:val="18"/>
                <w:szCs w:val="18"/>
                <w:lang w:val="et-EE"/>
              </w:rPr>
              <w:t>emissioon on arvestuslikult null. See tähendab, et sellist elektritootmist tuleb käsitleda süsinikuneutraalse elektritootmisena</w:t>
            </w:r>
            <w:r w:rsidR="4E2C0005" w:rsidRPr="4E2C0005">
              <w:rPr>
                <w:rFonts w:cs="Arial"/>
                <w:sz w:val="18"/>
                <w:szCs w:val="18"/>
                <w:lang w:val="et-EE"/>
              </w:rPr>
              <w:t>.</w:t>
            </w:r>
          </w:p>
          <w:p w14:paraId="7279183A" w14:textId="7E5886E2" w:rsidR="00225BE6" w:rsidRPr="005E3342" w:rsidRDefault="00225BE6" w:rsidP="4E2C0005">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5E3342">
              <w:rPr>
                <w:rFonts w:cs="Arial"/>
                <w:sz w:val="18"/>
                <w:szCs w:val="18"/>
                <w:lang w:val="et-EE"/>
              </w:rPr>
              <w:t xml:space="preserve">KMH aruandes </w:t>
            </w:r>
            <w:proofErr w:type="spellStart"/>
            <w:r w:rsidRPr="005E3342">
              <w:rPr>
                <w:rFonts w:cs="Arial"/>
                <w:sz w:val="18"/>
                <w:szCs w:val="18"/>
                <w:lang w:val="et-EE"/>
              </w:rPr>
              <w:t>ptk</w:t>
            </w:r>
            <w:proofErr w:type="spellEnd"/>
            <w:r w:rsidRPr="005E3342">
              <w:rPr>
                <w:rFonts w:cs="Arial"/>
                <w:sz w:val="18"/>
                <w:szCs w:val="18"/>
                <w:lang w:val="et-EE"/>
              </w:rPr>
              <w:t xml:space="preserve"> 3 toodud strateegiliste dokumentide ülevaate täiendamisel </w:t>
            </w:r>
            <w:r w:rsidR="0050596F" w:rsidRPr="005E3342">
              <w:rPr>
                <w:rFonts w:cs="Arial"/>
                <w:sz w:val="18"/>
                <w:szCs w:val="18"/>
                <w:lang w:val="et-EE"/>
              </w:rPr>
              <w:t>täiendati</w:t>
            </w:r>
            <w:r w:rsidRPr="005E3342">
              <w:rPr>
                <w:rFonts w:cs="Arial"/>
                <w:sz w:val="18"/>
                <w:szCs w:val="18"/>
                <w:lang w:val="et-EE"/>
              </w:rPr>
              <w:t xml:space="preserve"> ka riikliku taastuvenergia eesmärgi täitmisega seonduv ülevaade</w:t>
            </w:r>
            <w:r w:rsidR="003B5CC6" w:rsidRPr="005E3342">
              <w:rPr>
                <w:rFonts w:cs="Arial"/>
                <w:sz w:val="18"/>
                <w:szCs w:val="18"/>
                <w:lang w:val="et-EE"/>
              </w:rPr>
              <w:t xml:space="preserve"> ja see on kajastatud </w:t>
            </w:r>
            <w:proofErr w:type="spellStart"/>
            <w:r w:rsidR="003B5CC6" w:rsidRPr="005E3342">
              <w:rPr>
                <w:rFonts w:cs="Arial"/>
                <w:sz w:val="18"/>
                <w:szCs w:val="18"/>
                <w:lang w:val="et-EE"/>
              </w:rPr>
              <w:t>ptk</w:t>
            </w:r>
            <w:proofErr w:type="spellEnd"/>
            <w:r w:rsidR="003B5CC6" w:rsidRPr="005E3342">
              <w:rPr>
                <w:rFonts w:cs="Arial"/>
                <w:sz w:val="18"/>
                <w:szCs w:val="18"/>
                <w:lang w:val="et-EE"/>
              </w:rPr>
              <w:t xml:space="preserve"> 3.3</w:t>
            </w:r>
            <w:r w:rsidRPr="005E3342">
              <w:rPr>
                <w:rFonts w:cs="Arial"/>
                <w:sz w:val="18"/>
                <w:szCs w:val="18"/>
                <w:lang w:val="et-EE"/>
              </w:rPr>
              <w:t xml:space="preserve">.  </w:t>
            </w:r>
          </w:p>
        </w:tc>
      </w:tr>
      <w:tr w:rsidR="0042043A" w:rsidRPr="00FD5087" w14:paraId="6766396A"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5641BFD5" w14:textId="4E841B29" w:rsidR="0042043A" w:rsidRPr="00FD5087" w:rsidRDefault="00F41CFC" w:rsidP="00FC01F4">
            <w:pPr>
              <w:spacing w:beforeLines="60" w:before="144"/>
              <w:rPr>
                <w:rFonts w:cs="Arial"/>
                <w:sz w:val="18"/>
                <w:szCs w:val="18"/>
                <w:lang w:val="et-EE"/>
              </w:rPr>
            </w:pPr>
            <w:r w:rsidRPr="00FD5087">
              <w:rPr>
                <w:rFonts w:cs="Arial"/>
                <w:sz w:val="18"/>
                <w:szCs w:val="18"/>
                <w:lang w:val="et-EE"/>
              </w:rPr>
              <w:t xml:space="preserve">2g. </w:t>
            </w:r>
            <w:r w:rsidRPr="00FD5087">
              <w:rPr>
                <w:rFonts w:cs="Arial"/>
                <w:b/>
                <w:sz w:val="18"/>
                <w:szCs w:val="18"/>
                <w:lang w:val="et-EE"/>
              </w:rPr>
              <w:t>Palume KMH aruandes tuua välja</w:t>
            </w:r>
            <w:r w:rsidRPr="00FD5087">
              <w:rPr>
                <w:rFonts w:cs="Arial"/>
                <w:sz w:val="18"/>
                <w:szCs w:val="18"/>
                <w:lang w:val="et-EE"/>
              </w:rPr>
              <w:t>, et nii “Eesmärk 55” paketis kui ka sellel põhinevates alama astme aktides ette nähtud meetmed kliimamuutuste leevendamiseks ei ole piisavad, et hoida üleilmse temperatuuri tõusu Pariisi leppega sihiks seatud 1,5 kraadi piires.</w:t>
            </w:r>
            <w:r w:rsidRPr="00FD5087">
              <w:rPr>
                <w:rStyle w:val="FootnoteReference"/>
                <w:rFonts w:cs="Arial"/>
                <w:sz w:val="18"/>
                <w:szCs w:val="18"/>
                <w:lang w:val="et-EE"/>
              </w:rPr>
              <w:footnoteReference w:id="9"/>
            </w:r>
            <w:r w:rsidRPr="00FD5087">
              <w:rPr>
                <w:rFonts w:cs="Arial"/>
                <w:sz w:val="18"/>
                <w:szCs w:val="18"/>
                <w:lang w:val="et-EE"/>
              </w:rPr>
              <w:t xml:space="preserve"> Samuti palume välja tuua, et ka arengustrateegia “Eesti 2035” eesmärk vähendada KHG netoheide 8 mln tonnini aastaks 2035, ei ole kooskõlas </w:t>
            </w:r>
            <w:r w:rsidRPr="00FD5087">
              <w:rPr>
                <w:rFonts w:cs="Arial"/>
                <w:b/>
                <w:sz w:val="18"/>
                <w:szCs w:val="18"/>
                <w:lang w:val="et-EE"/>
              </w:rPr>
              <w:t>Pariisi kliimaleppe 1.5 kraadi eesmärgi saavutamise teaduspõhise trajektooriga</w:t>
            </w:r>
            <w:r w:rsidRPr="00FD5087">
              <w:rPr>
                <w:rFonts w:cs="Arial"/>
                <w:sz w:val="18"/>
                <w:szCs w:val="18"/>
                <w:lang w:val="et-EE"/>
              </w:rPr>
              <w:t>: IPCC viimase raporti kohaselt peab maailm Pariisis kokkulepitud soojenemise piires püsimiseks kärpima KHG heidet 2035. aastaks 60% võrreldes aastaga 2019; "Eesti 2035" 8 mln t/a eesmärk võrreldes 2019. a tasemega tähendab aga 49% suurust vähenemist. Hinnates tegevuse kooskõla strateegiliste</w:t>
            </w:r>
            <w:r w:rsidR="00FC01F4">
              <w:rPr>
                <w:rFonts w:cs="Arial"/>
                <w:sz w:val="18"/>
                <w:szCs w:val="18"/>
                <w:lang w:val="et-EE"/>
              </w:rPr>
              <w:t xml:space="preserve"> </w:t>
            </w:r>
            <w:r w:rsidRPr="00FD5087">
              <w:rPr>
                <w:rFonts w:cs="Arial"/>
                <w:sz w:val="18"/>
                <w:szCs w:val="18"/>
                <w:lang w:val="et-EE"/>
              </w:rPr>
              <w:t xml:space="preserve">arengudokumentidega, tuleb seega silmas pidada, </w:t>
            </w:r>
            <w:r w:rsidRPr="00FD5087">
              <w:rPr>
                <w:rFonts w:cs="Arial"/>
                <w:sz w:val="18"/>
                <w:szCs w:val="18"/>
                <w:lang w:val="et-EE"/>
              </w:rPr>
              <w:lastRenderedPageBreak/>
              <w:t>et kooskõla arengudokumendiga ei</w:t>
            </w:r>
            <w:r w:rsidRPr="00FD5087">
              <w:rPr>
                <w:rFonts w:cs="Arial"/>
                <w:bCs w:val="0"/>
                <w:sz w:val="18"/>
                <w:szCs w:val="18"/>
                <w:lang w:val="et-EE"/>
              </w:rPr>
              <w:t xml:space="preserve"> </w:t>
            </w:r>
            <w:r w:rsidRPr="00FD5087">
              <w:rPr>
                <w:rFonts w:cs="Arial"/>
                <w:sz w:val="18"/>
                <w:szCs w:val="18"/>
                <w:lang w:val="et-EE"/>
              </w:rPr>
              <w:t>tähenda veel kooskõla Pariisi leppega, mida Eestil on kohustus täita.</w:t>
            </w:r>
          </w:p>
        </w:tc>
        <w:tc>
          <w:tcPr>
            <w:tcW w:w="7377" w:type="dxa"/>
            <w:shd w:val="clear" w:color="auto" w:fill="FFFFFF" w:themeFill="background1"/>
            <w:vAlign w:val="top"/>
          </w:tcPr>
          <w:p w14:paraId="548FF68D" w14:textId="77777777" w:rsidR="00FC01F4" w:rsidRDefault="00161490" w:rsidP="00161490">
            <w:pPr>
              <w:pStyle w:val="Teksttabel"/>
              <w:spacing w:before="144"/>
              <w:cnfStyle w:val="000000100000" w:firstRow="0" w:lastRow="0" w:firstColumn="0" w:lastColumn="0" w:oddVBand="0" w:evenVBand="0" w:oddHBand="1" w:evenHBand="0" w:firstRowFirstColumn="0" w:firstRowLastColumn="0" w:lastRowFirstColumn="0" w:lastRowLastColumn="0"/>
              <w:rPr>
                <w:lang w:val="et-EE"/>
              </w:rPr>
            </w:pPr>
            <w:r w:rsidRPr="00FD5087">
              <w:rPr>
                <w:lang w:val="et-EE"/>
              </w:rPr>
              <w:lastRenderedPageBreak/>
              <w:t xml:space="preserve">KMH-s on aluseks võetud Eesti poolt ametlikult kinnitatud siseriiklikud dokumendid ja juhul kui need on rahvusvaheliselt võetud kohustustega vastuolus, saab seda vastuolu ja sellest tulenevaid riske kõige täpsemini hinnata riik ise ja mitte KMH töörühm ühe konkreetse projekti KMH raames. </w:t>
            </w:r>
          </w:p>
          <w:p w14:paraId="3CD584FC" w14:textId="113B78BE" w:rsidR="00FC01F4" w:rsidRDefault="00FC01F4" w:rsidP="00161490">
            <w:pPr>
              <w:pStyle w:val="Teksttabel"/>
              <w:spacing w:before="144"/>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2023. a aprillis algatas Euroopa Komisjoni avaliku küsitluse, milline peaks olema 2040. aastal EL-i vahe-eesmärk KHG heitele. Küsitluses on toodud viis vahemikku – alates heite vähendamisest kuni 65% (madal ambitsioon, mis on ainult mõnevõrra suurem võrreldes 2030. aasta eesmärgiga) kuni vähendamiseni üle 90% (väga kõrge ambitsioon, millega ollakse lähedal kliimaneutraalsuse saavutamisele juba 2040. aastaks). Lisaks küsitlusele on Komisjon algatanud ka põhjaliku mõju hindamise. Võib juhtuda, et tulevikus määratakse uued vahe-eesmärgid, mis järjekordselt mõjutavad Eesti strateegiliste arengudokumentide või õigusaktide sisu. Kuid nende </w:t>
            </w:r>
            <w:r>
              <w:rPr>
                <w:lang w:val="et-EE"/>
              </w:rPr>
              <w:lastRenderedPageBreak/>
              <w:t>muudatustega saab riik tegeleda siis, kui uued eesmärgid ja nendeni jõudmise raamistik on teada.</w:t>
            </w:r>
          </w:p>
          <w:p w14:paraId="3E6EAD4D" w14:textId="77777777" w:rsidR="00BA3553" w:rsidRDefault="00161490" w:rsidP="00FC01F4">
            <w:pPr>
              <w:pStyle w:val="Teksttabel"/>
              <w:spacing w:before="144"/>
              <w:cnfStyle w:val="000000100000" w:firstRow="0" w:lastRow="0" w:firstColumn="0" w:lastColumn="0" w:oddVBand="0" w:evenVBand="0" w:oddHBand="1" w:evenHBand="0" w:firstRowFirstColumn="0" w:firstRowLastColumn="0" w:lastRowFirstColumn="0" w:lastRowLastColumn="0"/>
              <w:rPr>
                <w:lang w:val="et-EE"/>
              </w:rPr>
            </w:pPr>
            <w:r w:rsidRPr="00FD5087">
              <w:rPr>
                <w:lang w:val="et-EE"/>
              </w:rPr>
              <w:t xml:space="preserve">Mainitud protsentide juures tuleb veel silmas pidada seda, et Euroopa Liidu </w:t>
            </w:r>
            <w:proofErr w:type="spellStart"/>
            <w:r w:rsidRPr="00FD5087">
              <w:rPr>
                <w:lang w:val="et-EE"/>
              </w:rPr>
              <w:t>üldeesmärkide</w:t>
            </w:r>
            <w:proofErr w:type="spellEnd"/>
            <w:r w:rsidRPr="00FD5087">
              <w:rPr>
                <w:lang w:val="et-EE"/>
              </w:rPr>
              <w:t xml:space="preserve"> saavutamine ei pruugi alati täpselt samas proportsioonis liikmesriikide vahel jagatud olla. See tähendab seda, et isegi kui EL võtaks praegusest veelgi ambitsioonikamad vähendamise eesmärgid (nt mainitud vähendada heidet 2035. aastal 60% võrreldes 2019. aastaga), ei pruugi Eesti heite vähendamise eesmärk täpselt sama protsent olla.</w:t>
            </w:r>
          </w:p>
          <w:p w14:paraId="33693D6C" w14:textId="501CB009" w:rsidR="00FC01F4" w:rsidRPr="00FD5087" w:rsidRDefault="00FC01F4" w:rsidP="00FC01F4">
            <w:pPr>
              <w:pStyle w:val="Teksttabel"/>
              <w:spacing w:before="144"/>
              <w:cnfStyle w:val="000000100000" w:firstRow="0" w:lastRow="0" w:firstColumn="0" w:lastColumn="0" w:oddVBand="0" w:evenVBand="0" w:oddHBand="1" w:evenHBand="0" w:firstRowFirstColumn="0" w:firstRowLastColumn="0" w:lastRowFirstColumn="0" w:lastRowLastColumn="0"/>
              <w:rPr>
                <w:lang w:val="et-EE"/>
              </w:rPr>
            </w:pPr>
            <w:r w:rsidRPr="00B666C8">
              <w:rPr>
                <w:lang w:val="et-EE"/>
              </w:rPr>
              <w:t>KMH aruannet selle konkreetse ettepaneku alusel ei täiendata</w:t>
            </w:r>
            <w:r w:rsidR="000677D5" w:rsidRPr="00B666C8">
              <w:rPr>
                <w:lang w:val="et-EE"/>
              </w:rPr>
              <w:t>.</w:t>
            </w:r>
          </w:p>
        </w:tc>
      </w:tr>
      <w:tr w:rsidR="00E16F5F" w:rsidRPr="00FD5087" w14:paraId="64BCE542"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66E180B6" w14:textId="11A09037" w:rsidR="00E16F5F" w:rsidRPr="00FD5087" w:rsidRDefault="00F41CFC" w:rsidP="00F41CFC">
            <w:pPr>
              <w:spacing w:beforeLines="60" w:before="144"/>
              <w:rPr>
                <w:rFonts w:cs="Arial"/>
                <w:sz w:val="18"/>
                <w:szCs w:val="18"/>
                <w:lang w:val="et-EE"/>
              </w:rPr>
            </w:pPr>
            <w:r w:rsidRPr="00FD5087">
              <w:rPr>
                <w:rFonts w:cs="Arial"/>
                <w:sz w:val="18"/>
                <w:szCs w:val="18"/>
                <w:lang w:val="et-EE"/>
              </w:rPr>
              <w:lastRenderedPageBreak/>
              <w:t xml:space="preserve">2h. </w:t>
            </w:r>
            <w:r w:rsidRPr="00FD5087">
              <w:rPr>
                <w:rFonts w:cs="Arial"/>
                <w:b/>
                <w:bCs w:val="0"/>
                <w:sz w:val="18"/>
                <w:szCs w:val="18"/>
                <w:lang w:val="et-EE"/>
              </w:rPr>
              <w:t>Lisaks palume arvesse võtta</w:t>
            </w:r>
            <w:r w:rsidRPr="00FD5087">
              <w:rPr>
                <w:rFonts w:cs="Arial"/>
                <w:sz w:val="18"/>
                <w:szCs w:val="18"/>
                <w:lang w:val="et-EE"/>
              </w:rPr>
              <w:t xml:space="preserve"> värskeid </w:t>
            </w:r>
            <w:r w:rsidRPr="00FD5087">
              <w:rPr>
                <w:rFonts w:cs="Arial"/>
                <w:b/>
                <w:bCs w:val="0"/>
                <w:sz w:val="18"/>
                <w:szCs w:val="18"/>
                <w:lang w:val="et-EE"/>
              </w:rPr>
              <w:t>2023. a Eesti KHG heite prognoose</w:t>
            </w:r>
            <w:r w:rsidRPr="00FD5087">
              <w:rPr>
                <w:rFonts w:cs="Arial"/>
                <w:sz w:val="18"/>
                <w:szCs w:val="18"/>
                <w:lang w:val="et-EE"/>
              </w:rPr>
              <w:t>, millest nähtub,</w:t>
            </w:r>
            <w:r w:rsidRPr="00FD5087">
              <w:rPr>
                <w:rFonts w:cs="Arial"/>
                <w:bCs w:val="0"/>
                <w:sz w:val="18"/>
                <w:szCs w:val="18"/>
                <w:lang w:val="et-EE"/>
              </w:rPr>
              <w:t xml:space="preserve"> </w:t>
            </w:r>
            <w:r w:rsidRPr="00FD5087">
              <w:rPr>
                <w:rFonts w:cs="Arial"/>
                <w:sz w:val="18"/>
                <w:szCs w:val="18"/>
                <w:lang w:val="et-EE"/>
              </w:rPr>
              <w:t>et Eesti on oma kavandatavate meetmetega väga kaugel sellest, et täita EL ja riigisiseseid</w:t>
            </w:r>
            <w:r w:rsidRPr="00FD5087">
              <w:rPr>
                <w:rFonts w:cs="Arial"/>
                <w:bCs w:val="0"/>
                <w:sz w:val="18"/>
                <w:szCs w:val="18"/>
                <w:lang w:val="et-EE"/>
              </w:rPr>
              <w:t xml:space="preserve"> </w:t>
            </w:r>
            <w:r w:rsidRPr="00FD5087">
              <w:rPr>
                <w:rFonts w:cs="Arial"/>
                <w:sz w:val="18"/>
                <w:szCs w:val="18"/>
                <w:lang w:val="et-EE"/>
              </w:rPr>
              <w:t>kliimaeesmärke.</w:t>
            </w:r>
            <w:r w:rsidR="00336178" w:rsidRPr="00FD5087">
              <w:rPr>
                <w:rStyle w:val="FootnoteReference"/>
                <w:rFonts w:cs="Arial"/>
                <w:sz w:val="18"/>
                <w:szCs w:val="18"/>
                <w:lang w:val="et-EE"/>
              </w:rPr>
              <w:footnoteReference w:id="10"/>
            </w:r>
            <w:r w:rsidRPr="00FD5087">
              <w:rPr>
                <w:rFonts w:cs="Arial"/>
                <w:sz w:val="18"/>
                <w:szCs w:val="18"/>
                <w:lang w:val="et-EE"/>
              </w:rPr>
              <w:t xml:space="preserve"> Eeltoodud info väljatoomine on tähtis selleks, et anda otsustajale kontekst</w:t>
            </w:r>
            <w:r w:rsidRPr="00FD5087">
              <w:rPr>
                <w:rFonts w:cs="Arial"/>
                <w:bCs w:val="0"/>
                <w:sz w:val="18"/>
                <w:szCs w:val="18"/>
                <w:lang w:val="et-EE"/>
              </w:rPr>
              <w:t xml:space="preserve"> </w:t>
            </w:r>
            <w:r w:rsidRPr="00FD5087">
              <w:rPr>
                <w:rFonts w:cs="Arial"/>
                <w:sz w:val="18"/>
                <w:szCs w:val="18"/>
                <w:lang w:val="et-EE"/>
              </w:rPr>
              <w:t>õlitehase KHG heite olulisuse hindamiseks, mida ta saab otsustamisel arvesse võtta. Seda ka</w:t>
            </w:r>
            <w:r w:rsidRPr="00FD5087">
              <w:rPr>
                <w:rFonts w:cs="Arial"/>
                <w:bCs w:val="0"/>
                <w:sz w:val="18"/>
                <w:szCs w:val="18"/>
                <w:lang w:val="et-EE"/>
              </w:rPr>
              <w:t xml:space="preserve"> </w:t>
            </w:r>
            <w:r w:rsidRPr="00FD5087">
              <w:rPr>
                <w:rFonts w:cs="Arial"/>
                <w:sz w:val="18"/>
                <w:szCs w:val="18"/>
                <w:lang w:val="et-EE"/>
              </w:rPr>
              <w:t>seetõttu, et kui Eesti peaks otsustama viia oma kliimaeesmärgid kooskõlla Pariisi kliimaleppe</w:t>
            </w:r>
            <w:r w:rsidRPr="00FD5087">
              <w:rPr>
                <w:rFonts w:cs="Arial"/>
                <w:bCs w:val="0"/>
                <w:sz w:val="18"/>
                <w:szCs w:val="18"/>
                <w:lang w:val="et-EE"/>
              </w:rPr>
              <w:t xml:space="preserve"> </w:t>
            </w:r>
            <w:r w:rsidRPr="00FD5087">
              <w:rPr>
                <w:rFonts w:cs="Arial"/>
                <w:sz w:val="18"/>
                <w:szCs w:val="18"/>
                <w:lang w:val="et-EE"/>
              </w:rPr>
              <w:t>1,5 kraadi eesmärgi saavutamise teaduspõhise trajektooriga, st kehtestama</w:t>
            </w:r>
            <w:r w:rsidRPr="00FD5087">
              <w:rPr>
                <w:rFonts w:cs="Arial"/>
                <w:bCs w:val="0"/>
                <w:sz w:val="18"/>
                <w:szCs w:val="18"/>
                <w:lang w:val="et-EE"/>
              </w:rPr>
              <w:t xml:space="preserve"> </w:t>
            </w:r>
            <w:r w:rsidRPr="00FD5087">
              <w:rPr>
                <w:rFonts w:cs="Arial"/>
                <w:sz w:val="18"/>
                <w:szCs w:val="18"/>
                <w:lang w:val="et-EE"/>
              </w:rPr>
              <w:t>ambitsioonikamad kliimaeesmärgid, võib nende kehtestatavate või uuendatavate</w:t>
            </w:r>
            <w:r w:rsidRPr="00FD5087">
              <w:rPr>
                <w:rFonts w:cs="Arial"/>
                <w:bCs w:val="0"/>
                <w:sz w:val="18"/>
                <w:szCs w:val="18"/>
                <w:lang w:val="et-EE"/>
              </w:rPr>
              <w:t xml:space="preserve"> </w:t>
            </w:r>
            <w:r w:rsidRPr="00FD5087">
              <w:rPr>
                <w:rFonts w:cs="Arial"/>
                <w:sz w:val="18"/>
                <w:szCs w:val="18"/>
                <w:lang w:val="et-EE"/>
              </w:rPr>
              <w:t>kliimaeesmärkide tõttu olla vaja ettevõtjale antud keskkonnaluba kehtetuks tunnistada.</w:t>
            </w:r>
            <w:r w:rsidRPr="00FD5087">
              <w:rPr>
                <w:rFonts w:cs="Arial"/>
                <w:bCs w:val="0"/>
                <w:sz w:val="18"/>
                <w:szCs w:val="18"/>
                <w:lang w:val="et-EE"/>
              </w:rPr>
              <w:t xml:space="preserve"> </w:t>
            </w:r>
            <w:r w:rsidRPr="00FD5087">
              <w:rPr>
                <w:rFonts w:cs="Arial"/>
                <w:sz w:val="18"/>
                <w:szCs w:val="18"/>
                <w:lang w:val="et-EE"/>
              </w:rPr>
              <w:t>Seepeale võib ettevõtjal tekkida nõudeõigus kahju hüvitamiseks juba tehtud investeeringute</w:t>
            </w:r>
            <w:r w:rsidRPr="00FD5087">
              <w:rPr>
                <w:rFonts w:cs="Arial"/>
                <w:bCs w:val="0"/>
                <w:sz w:val="18"/>
                <w:szCs w:val="18"/>
                <w:lang w:val="et-EE"/>
              </w:rPr>
              <w:t xml:space="preserve"> </w:t>
            </w:r>
            <w:r w:rsidRPr="00FD5087">
              <w:rPr>
                <w:rFonts w:cs="Arial"/>
                <w:sz w:val="18"/>
                <w:szCs w:val="18"/>
                <w:lang w:val="et-EE"/>
              </w:rPr>
              <w:t>osas. Kõik need riskid mõjutavad ka avalikku huvi.</w:t>
            </w:r>
          </w:p>
        </w:tc>
        <w:tc>
          <w:tcPr>
            <w:tcW w:w="7377" w:type="dxa"/>
            <w:shd w:val="clear" w:color="auto" w:fill="FFFFFF" w:themeFill="background1"/>
            <w:vAlign w:val="top"/>
          </w:tcPr>
          <w:p w14:paraId="3BB9DF6B" w14:textId="043305C2" w:rsidR="00B609F0" w:rsidRPr="00FD5087" w:rsidRDefault="0075599B" w:rsidP="00B609F0">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V</w:t>
            </w:r>
            <w:r w:rsidR="60B87946" w:rsidRPr="3FA58C32">
              <w:rPr>
                <w:rFonts w:cs="Arial"/>
                <w:sz w:val="18"/>
                <w:szCs w:val="18"/>
                <w:lang w:val="et-EE"/>
              </w:rPr>
              <w:t xml:space="preserve">iidatud prognoosi alusel on </w:t>
            </w:r>
            <w:r w:rsidR="00744EF4">
              <w:rPr>
                <w:rFonts w:cs="Arial"/>
                <w:sz w:val="18"/>
                <w:szCs w:val="18"/>
                <w:lang w:val="et-EE"/>
              </w:rPr>
              <w:t xml:space="preserve">KMH </w:t>
            </w:r>
            <w:r w:rsidR="60B87946" w:rsidRPr="3FA58C32">
              <w:rPr>
                <w:rFonts w:cs="Arial"/>
                <w:sz w:val="18"/>
                <w:szCs w:val="18"/>
                <w:lang w:val="et-EE"/>
              </w:rPr>
              <w:t>aruan</w:t>
            </w:r>
            <w:r w:rsidR="00744EF4">
              <w:rPr>
                <w:rFonts w:cs="Arial"/>
                <w:sz w:val="18"/>
                <w:szCs w:val="18"/>
                <w:lang w:val="et-EE"/>
              </w:rPr>
              <w:t>d</w:t>
            </w:r>
            <w:r w:rsidR="60B87946" w:rsidRPr="3FA58C32">
              <w:rPr>
                <w:rFonts w:cs="Arial"/>
                <w:sz w:val="18"/>
                <w:szCs w:val="18"/>
                <w:lang w:val="et-EE"/>
              </w:rPr>
              <w:t>e</w:t>
            </w:r>
            <w:r w:rsidR="00744EF4" w:rsidRPr="003D754A">
              <w:rPr>
                <w:lang w:val="et-EE"/>
              </w:rPr>
              <w:t xml:space="preserve"> </w:t>
            </w:r>
            <w:proofErr w:type="spellStart"/>
            <w:r w:rsidR="00744EF4" w:rsidRPr="00744EF4">
              <w:rPr>
                <w:rFonts w:cs="Arial"/>
                <w:sz w:val="18"/>
                <w:szCs w:val="18"/>
                <w:lang w:val="et-EE"/>
              </w:rPr>
              <w:t>ptk</w:t>
            </w:r>
            <w:proofErr w:type="spellEnd"/>
            <w:r w:rsidR="00744EF4" w:rsidRPr="00744EF4">
              <w:rPr>
                <w:rFonts w:cs="Arial"/>
                <w:sz w:val="18"/>
                <w:szCs w:val="18"/>
                <w:lang w:val="et-EE"/>
              </w:rPr>
              <w:t xml:space="preserve"> 4.1 lõppjäreldust täiendatud</w:t>
            </w:r>
            <w:r w:rsidR="60B87946" w:rsidRPr="3FA58C32">
              <w:rPr>
                <w:rFonts w:cs="Arial"/>
                <w:sz w:val="18"/>
                <w:szCs w:val="18"/>
                <w:lang w:val="et-EE"/>
              </w:rPr>
              <w:t>: „Eriti arvesse võtte</w:t>
            </w:r>
            <w:r w:rsidR="00B666C8">
              <w:rPr>
                <w:rFonts w:cs="Arial"/>
                <w:sz w:val="18"/>
                <w:szCs w:val="18"/>
                <w:lang w:val="et-EE"/>
              </w:rPr>
              <w:t>s</w:t>
            </w:r>
            <w:r w:rsidR="60B87946" w:rsidRPr="3FA58C32">
              <w:rPr>
                <w:rFonts w:cs="Arial"/>
                <w:sz w:val="18"/>
                <w:szCs w:val="18"/>
                <w:lang w:val="et-EE"/>
              </w:rPr>
              <w:t xml:space="preserve"> viimast Eesti KHG heite prognoosi, mille kohaselt ei saavutata 2035. aasta eesmärgi 8 miljoni tonni CO</w:t>
            </w:r>
            <w:r w:rsidR="60B87946" w:rsidRPr="00B609F0">
              <w:rPr>
                <w:rFonts w:cs="Arial"/>
                <w:sz w:val="18"/>
                <w:szCs w:val="18"/>
                <w:vertAlign w:val="subscript"/>
                <w:lang w:val="et-EE"/>
              </w:rPr>
              <w:t>2</w:t>
            </w:r>
            <w:r w:rsidR="60B87946" w:rsidRPr="3FA58C32">
              <w:rPr>
                <w:rFonts w:cs="Arial"/>
                <w:sz w:val="18"/>
                <w:szCs w:val="18"/>
                <w:lang w:val="et-EE"/>
              </w:rPr>
              <w:t xml:space="preserve"> eesmärki ei WEM stsenaariumi (olemasolevate meetmete korral) ega ka WAM stsenaariumi (kavandatud meetmete rakendamisel) korral. Prognoosi kohaselt oleks 2035. aasta KHG heide, LULUCF-i arvestades, WEM stsenaariumi korral 11,42 miljonit tonni</w:t>
            </w:r>
            <w:r w:rsidR="00B609F0">
              <w:rPr>
                <w:rFonts w:cs="Arial"/>
                <w:sz w:val="18"/>
                <w:szCs w:val="18"/>
                <w:lang w:val="et-EE"/>
              </w:rPr>
              <w:t xml:space="preserve"> </w:t>
            </w:r>
            <w:r w:rsidR="60B87946" w:rsidRPr="3FA58C32">
              <w:rPr>
                <w:rFonts w:cs="Arial"/>
                <w:sz w:val="18"/>
                <w:szCs w:val="18"/>
                <w:lang w:val="et-EE"/>
              </w:rPr>
              <w:t>CO</w:t>
            </w:r>
            <w:r w:rsidR="60B87946" w:rsidRPr="00B609F0">
              <w:rPr>
                <w:rFonts w:cs="Arial"/>
                <w:sz w:val="18"/>
                <w:szCs w:val="18"/>
                <w:vertAlign w:val="subscript"/>
                <w:lang w:val="et-EE"/>
              </w:rPr>
              <w:t>2</w:t>
            </w:r>
            <w:r w:rsidR="60B87946" w:rsidRPr="3FA58C32">
              <w:rPr>
                <w:rFonts w:cs="Arial"/>
                <w:sz w:val="18"/>
                <w:szCs w:val="18"/>
                <w:lang w:val="et-EE"/>
              </w:rPr>
              <w:t xml:space="preserve"> ja WAM stsenaariumi korral 9,15 miljonit tonni CO</w:t>
            </w:r>
            <w:r w:rsidR="60B87946" w:rsidRPr="00B666C8">
              <w:rPr>
                <w:rFonts w:cs="Arial"/>
                <w:sz w:val="18"/>
                <w:szCs w:val="18"/>
                <w:vertAlign w:val="subscript"/>
                <w:lang w:val="et-EE"/>
              </w:rPr>
              <w:t>2</w:t>
            </w:r>
            <w:r w:rsidR="179FE9BF" w:rsidRPr="3FA58C32">
              <w:rPr>
                <w:rFonts w:cs="Arial"/>
                <w:sz w:val="18"/>
                <w:szCs w:val="18"/>
                <w:lang w:val="et-EE"/>
              </w:rPr>
              <w:t xml:space="preserve">. </w:t>
            </w:r>
            <w:r w:rsidR="00B609F0" w:rsidRPr="6FE02FA2">
              <w:rPr>
                <w:rFonts w:cs="Arial"/>
                <w:sz w:val="18"/>
                <w:szCs w:val="18"/>
                <w:lang w:val="et-EE"/>
              </w:rPr>
              <w:t>Mudelis on kavandatava Enefit280-2 tulevast potentsiaalset heidet teatud mahus juba arvesse võetud ning Keskkonnaministeeriumilt laekunud info kohaselt arvestab mudel nii WEM kui ka WAM stsenaariumi korral KHG heitkoguseks 2035.</w:t>
            </w:r>
            <w:r w:rsidR="00B609F0">
              <w:rPr>
                <w:rFonts w:cs="Arial"/>
                <w:sz w:val="18"/>
                <w:szCs w:val="18"/>
                <w:lang w:val="et-EE"/>
              </w:rPr>
              <w:t xml:space="preserve"> </w:t>
            </w:r>
            <w:r w:rsidR="00B609F0" w:rsidRPr="6FE02FA2">
              <w:rPr>
                <w:rFonts w:cs="Arial"/>
                <w:sz w:val="18"/>
                <w:szCs w:val="18"/>
                <w:lang w:val="et-EE"/>
              </w:rPr>
              <w:t>aastal 480 ktCO</w:t>
            </w:r>
            <w:r w:rsidR="00B609F0" w:rsidRPr="00CA2783">
              <w:rPr>
                <w:rFonts w:cs="Arial"/>
                <w:sz w:val="18"/>
                <w:szCs w:val="18"/>
                <w:vertAlign w:val="subscript"/>
                <w:lang w:val="et-EE"/>
              </w:rPr>
              <w:t>2</w:t>
            </w:r>
            <w:r w:rsidR="00B609F0" w:rsidRPr="6FE02FA2">
              <w:rPr>
                <w:rFonts w:cs="Arial"/>
                <w:sz w:val="18"/>
                <w:szCs w:val="18"/>
                <w:lang w:val="et-EE"/>
              </w:rPr>
              <w:t xml:space="preserve"> (</w:t>
            </w:r>
            <w:r w:rsidR="00B609F0">
              <w:rPr>
                <w:rFonts w:cs="Arial"/>
                <w:sz w:val="18"/>
                <w:szCs w:val="18"/>
                <w:lang w:val="et-EE"/>
              </w:rPr>
              <w:t>kajastub</w:t>
            </w:r>
            <w:r w:rsidR="00B609F0" w:rsidRPr="6FE02FA2">
              <w:rPr>
                <w:rFonts w:cs="Arial"/>
                <w:sz w:val="18"/>
                <w:szCs w:val="18"/>
                <w:lang w:val="et-EE"/>
              </w:rPr>
              <w:t xml:space="preserve"> </w:t>
            </w:r>
            <w:proofErr w:type="spellStart"/>
            <w:r w:rsidR="00B609F0">
              <w:rPr>
                <w:rFonts w:cs="Arial"/>
                <w:sz w:val="18"/>
                <w:szCs w:val="18"/>
                <w:lang w:val="et-EE"/>
              </w:rPr>
              <w:t>HK</w:t>
            </w:r>
            <w:r w:rsidR="00B609F0" w:rsidRPr="6FE02FA2">
              <w:rPr>
                <w:rFonts w:cs="Arial"/>
                <w:sz w:val="18"/>
                <w:szCs w:val="18"/>
                <w:lang w:val="et-EE"/>
              </w:rPr>
              <w:t>Si</w:t>
            </w:r>
            <w:proofErr w:type="spellEnd"/>
            <w:r w:rsidR="00B609F0" w:rsidRPr="6FE02FA2">
              <w:rPr>
                <w:rFonts w:cs="Arial"/>
                <w:sz w:val="18"/>
                <w:szCs w:val="18"/>
                <w:lang w:val="et-EE"/>
              </w:rPr>
              <w:t xml:space="preserve"> </w:t>
            </w:r>
            <w:r w:rsidR="00B609F0">
              <w:rPr>
                <w:rFonts w:cs="Arial"/>
                <w:sz w:val="18"/>
                <w:szCs w:val="18"/>
                <w:lang w:val="et-EE"/>
              </w:rPr>
              <w:t>kuuluvate käitiste arvestuses</w:t>
            </w:r>
            <w:r w:rsidR="00B609F0" w:rsidRPr="6FE02FA2">
              <w:rPr>
                <w:rFonts w:cs="Arial"/>
                <w:sz w:val="18"/>
                <w:szCs w:val="18"/>
                <w:lang w:val="et-EE"/>
              </w:rPr>
              <w:t>) + 13,90 tCH</w:t>
            </w:r>
            <w:r w:rsidR="00B609F0" w:rsidRPr="00CA2783">
              <w:rPr>
                <w:rFonts w:cs="Arial"/>
                <w:sz w:val="18"/>
                <w:szCs w:val="18"/>
                <w:vertAlign w:val="subscript"/>
                <w:lang w:val="et-EE"/>
              </w:rPr>
              <w:t>4</w:t>
            </w:r>
            <w:r w:rsidR="00B609F0" w:rsidRPr="6FE02FA2">
              <w:rPr>
                <w:rFonts w:cs="Arial"/>
                <w:sz w:val="18"/>
                <w:szCs w:val="18"/>
                <w:lang w:val="et-EE"/>
              </w:rPr>
              <w:t xml:space="preserve"> (0.39 ktCO</w:t>
            </w:r>
            <w:r w:rsidR="00B609F0" w:rsidRPr="00CA2783">
              <w:rPr>
                <w:rFonts w:cs="Arial"/>
                <w:sz w:val="18"/>
                <w:szCs w:val="18"/>
                <w:vertAlign w:val="subscript"/>
                <w:lang w:val="et-EE"/>
              </w:rPr>
              <w:t>2</w:t>
            </w:r>
            <w:r w:rsidR="00B609F0" w:rsidRPr="6FE02FA2">
              <w:rPr>
                <w:rFonts w:cs="Arial"/>
                <w:sz w:val="18"/>
                <w:szCs w:val="18"/>
                <w:lang w:val="et-EE"/>
              </w:rPr>
              <w:t xml:space="preserve"> </w:t>
            </w:r>
            <w:proofErr w:type="spellStart"/>
            <w:r w:rsidR="00B609F0" w:rsidRPr="6FE02FA2">
              <w:rPr>
                <w:rFonts w:cs="Arial"/>
                <w:sz w:val="18"/>
                <w:szCs w:val="18"/>
                <w:lang w:val="et-EE"/>
              </w:rPr>
              <w:t>ekv</w:t>
            </w:r>
            <w:proofErr w:type="spellEnd"/>
            <w:r w:rsidR="00B609F0" w:rsidRPr="6FE02FA2">
              <w:rPr>
                <w:rFonts w:cs="Arial"/>
                <w:sz w:val="18"/>
                <w:szCs w:val="18"/>
                <w:lang w:val="et-EE"/>
              </w:rPr>
              <w:t>) ja 1,39 tN</w:t>
            </w:r>
            <w:r w:rsidR="00B609F0" w:rsidRPr="00CA2783">
              <w:rPr>
                <w:rFonts w:cs="Arial"/>
                <w:sz w:val="18"/>
                <w:szCs w:val="18"/>
                <w:vertAlign w:val="subscript"/>
                <w:lang w:val="et-EE"/>
              </w:rPr>
              <w:t>2</w:t>
            </w:r>
            <w:r w:rsidR="00B609F0" w:rsidRPr="6FE02FA2">
              <w:rPr>
                <w:rFonts w:cs="Arial"/>
                <w:sz w:val="18"/>
                <w:szCs w:val="18"/>
                <w:lang w:val="et-EE"/>
              </w:rPr>
              <w:t>O (0.37 ktCO</w:t>
            </w:r>
            <w:r w:rsidR="00B609F0" w:rsidRPr="00CA2783">
              <w:rPr>
                <w:rFonts w:cs="Arial"/>
                <w:sz w:val="18"/>
                <w:szCs w:val="18"/>
                <w:vertAlign w:val="subscript"/>
                <w:lang w:val="et-EE"/>
              </w:rPr>
              <w:t>2</w:t>
            </w:r>
            <w:r w:rsidR="00B609F0" w:rsidRPr="6FE02FA2">
              <w:rPr>
                <w:rFonts w:cs="Arial"/>
                <w:sz w:val="18"/>
                <w:szCs w:val="18"/>
                <w:lang w:val="et-EE"/>
              </w:rPr>
              <w:t xml:space="preserve"> </w:t>
            </w:r>
            <w:proofErr w:type="spellStart"/>
            <w:r w:rsidR="00B609F0" w:rsidRPr="6FE02FA2">
              <w:rPr>
                <w:rFonts w:cs="Arial"/>
                <w:sz w:val="18"/>
                <w:szCs w:val="18"/>
                <w:lang w:val="et-EE"/>
              </w:rPr>
              <w:t>ekv</w:t>
            </w:r>
            <w:proofErr w:type="spellEnd"/>
            <w:r w:rsidR="00B609F0" w:rsidRPr="6FE02FA2">
              <w:rPr>
                <w:rFonts w:cs="Arial"/>
                <w:sz w:val="18"/>
                <w:szCs w:val="18"/>
                <w:lang w:val="et-EE"/>
              </w:rPr>
              <w:t>) (CH</w:t>
            </w:r>
            <w:r w:rsidR="00B609F0" w:rsidRPr="00CA2783">
              <w:rPr>
                <w:rFonts w:cs="Arial"/>
                <w:sz w:val="18"/>
                <w:szCs w:val="18"/>
                <w:vertAlign w:val="subscript"/>
                <w:lang w:val="et-EE"/>
              </w:rPr>
              <w:t>4</w:t>
            </w:r>
            <w:r w:rsidR="00B609F0" w:rsidRPr="6FE02FA2">
              <w:rPr>
                <w:rFonts w:cs="Arial"/>
                <w:sz w:val="18"/>
                <w:szCs w:val="18"/>
                <w:lang w:val="et-EE"/>
              </w:rPr>
              <w:t xml:space="preserve"> ja N</w:t>
            </w:r>
            <w:r w:rsidR="00B609F0" w:rsidRPr="00CA2783">
              <w:rPr>
                <w:rFonts w:cs="Arial"/>
                <w:sz w:val="18"/>
                <w:szCs w:val="18"/>
                <w:vertAlign w:val="subscript"/>
                <w:lang w:val="et-EE"/>
              </w:rPr>
              <w:t>2</w:t>
            </w:r>
            <w:r w:rsidR="00B609F0" w:rsidRPr="6FE02FA2">
              <w:rPr>
                <w:rFonts w:cs="Arial"/>
                <w:sz w:val="18"/>
                <w:szCs w:val="18"/>
                <w:lang w:val="et-EE"/>
              </w:rPr>
              <w:t>O lähe</w:t>
            </w:r>
            <w:r w:rsidR="00B609F0">
              <w:rPr>
                <w:rFonts w:cs="Arial"/>
                <w:sz w:val="18"/>
                <w:szCs w:val="18"/>
                <w:lang w:val="et-EE"/>
              </w:rPr>
              <w:t>vad</w:t>
            </w:r>
            <w:r w:rsidR="00B609F0" w:rsidRPr="6FE02FA2">
              <w:rPr>
                <w:rFonts w:cs="Arial"/>
                <w:sz w:val="18"/>
                <w:szCs w:val="18"/>
                <w:lang w:val="et-EE"/>
              </w:rPr>
              <w:t xml:space="preserve"> </w:t>
            </w:r>
            <w:r w:rsidR="00B609F0">
              <w:rPr>
                <w:rFonts w:cs="Arial"/>
                <w:sz w:val="18"/>
                <w:szCs w:val="18"/>
                <w:lang w:val="et-EE"/>
              </w:rPr>
              <w:t xml:space="preserve">jõupingutuste jagamise määruse ehk </w:t>
            </w:r>
            <w:proofErr w:type="spellStart"/>
            <w:r w:rsidR="00B609F0" w:rsidRPr="6FE02FA2">
              <w:rPr>
                <w:rFonts w:cs="Arial"/>
                <w:sz w:val="18"/>
                <w:szCs w:val="18"/>
                <w:lang w:val="et-EE"/>
              </w:rPr>
              <w:t>JJMi</w:t>
            </w:r>
            <w:proofErr w:type="spellEnd"/>
            <w:r w:rsidR="00B609F0" w:rsidRPr="6FE02FA2">
              <w:rPr>
                <w:rFonts w:cs="Arial"/>
                <w:sz w:val="18"/>
                <w:szCs w:val="18"/>
                <w:lang w:val="et-EE"/>
              </w:rPr>
              <w:t xml:space="preserve"> arvestusse). Mudelis on arvestatud ainult tootmisest tekkivat heitkogust.” Rõhutame samas, et tegemist on prognoosidega, mis suure tõenäosusega ajas muutuvad.</w:t>
            </w:r>
            <w:r w:rsidR="00744EF4">
              <w:rPr>
                <w:rFonts w:cs="Arial"/>
                <w:sz w:val="18"/>
                <w:szCs w:val="18"/>
                <w:lang w:val="et-EE"/>
              </w:rPr>
              <w:t>“</w:t>
            </w:r>
            <w:r w:rsidR="00B609F0">
              <w:rPr>
                <w:rFonts w:cs="Arial"/>
                <w:sz w:val="18"/>
                <w:szCs w:val="18"/>
                <w:lang w:val="et-EE"/>
              </w:rPr>
              <w:t xml:space="preserve"> </w:t>
            </w:r>
          </w:p>
        </w:tc>
      </w:tr>
      <w:tr w:rsidR="00E16F5F" w:rsidRPr="00FD5087" w14:paraId="7E3CB50E"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5A616D54" w14:textId="77777777" w:rsidR="00E16F5F" w:rsidRPr="00FD5087" w:rsidRDefault="0034601C" w:rsidP="00361445">
            <w:pPr>
              <w:spacing w:beforeLines="60" w:before="144"/>
              <w:rPr>
                <w:rFonts w:cs="Arial"/>
                <w:b/>
                <w:bCs w:val="0"/>
                <w:sz w:val="18"/>
                <w:szCs w:val="18"/>
                <w:lang w:val="et-EE"/>
              </w:rPr>
            </w:pPr>
            <w:r w:rsidRPr="00FD5087">
              <w:rPr>
                <w:rFonts w:cs="Arial"/>
                <w:b/>
                <w:bCs w:val="0"/>
                <w:sz w:val="18"/>
                <w:szCs w:val="18"/>
                <w:lang w:val="et-EE"/>
              </w:rPr>
              <w:t>3. Kliimamõju hindamine</w:t>
            </w:r>
          </w:p>
          <w:p w14:paraId="7A939727" w14:textId="77777777" w:rsidR="0034601C" w:rsidRPr="00FD5087" w:rsidRDefault="0034601C" w:rsidP="00361445">
            <w:pPr>
              <w:spacing w:beforeLines="60" w:before="144"/>
              <w:rPr>
                <w:rFonts w:cs="Arial"/>
                <w:b/>
                <w:bCs w:val="0"/>
                <w:sz w:val="18"/>
                <w:szCs w:val="18"/>
                <w:lang w:val="et-EE"/>
              </w:rPr>
            </w:pPr>
            <w:r w:rsidRPr="00FD5087">
              <w:rPr>
                <w:rFonts w:cs="Arial"/>
                <w:b/>
                <w:bCs w:val="0"/>
                <w:sz w:val="18"/>
                <w:szCs w:val="18"/>
                <w:lang w:val="et-EE"/>
              </w:rPr>
              <w:t>3.1 Enefit280-2 valmistatud toodete kliimamõju hindamine</w:t>
            </w:r>
          </w:p>
          <w:p w14:paraId="20E19F53" w14:textId="2A74C767" w:rsidR="00336178" w:rsidRPr="00FD5087" w:rsidRDefault="000677D5" w:rsidP="00336178">
            <w:pPr>
              <w:spacing w:beforeLines="60" w:before="144"/>
              <w:rPr>
                <w:rFonts w:cs="Arial"/>
                <w:bCs w:val="0"/>
                <w:sz w:val="18"/>
                <w:szCs w:val="18"/>
                <w:lang w:val="et-EE"/>
              </w:rPr>
            </w:pPr>
            <w:r>
              <w:rPr>
                <w:rFonts w:cs="Arial"/>
                <w:sz w:val="18"/>
                <w:szCs w:val="18"/>
                <w:lang w:val="et-EE"/>
              </w:rPr>
              <w:t xml:space="preserve">(3.1a). </w:t>
            </w:r>
            <w:r w:rsidR="00336178" w:rsidRPr="00FD5087">
              <w:rPr>
                <w:rFonts w:cs="Arial"/>
                <w:sz w:val="18"/>
                <w:szCs w:val="18"/>
                <w:lang w:val="et-EE"/>
              </w:rPr>
              <w:t xml:space="preserve">KMH programmis on öeldud kliimamõju kohta, et “Hinnatakse tegevuse </w:t>
            </w:r>
            <w:r w:rsidR="00336178" w:rsidRPr="00FD5087">
              <w:rPr>
                <w:rFonts w:cs="Arial"/>
                <w:sz w:val="18"/>
                <w:szCs w:val="18"/>
                <w:u w:val="single"/>
                <w:lang w:val="et-EE"/>
              </w:rPr>
              <w:t>kumulatiivset</w:t>
            </w:r>
            <w:r w:rsidR="00336178" w:rsidRPr="00FD5087">
              <w:rPr>
                <w:rFonts w:cs="Arial"/>
                <w:sz w:val="18"/>
                <w:szCs w:val="18"/>
                <w:lang w:val="et-EE"/>
              </w:rPr>
              <w:t xml:space="preserve"> mõju, st</w:t>
            </w:r>
            <w:r w:rsidR="00336178" w:rsidRPr="00FD5087">
              <w:rPr>
                <w:rFonts w:cs="Arial"/>
                <w:bCs w:val="0"/>
                <w:sz w:val="18"/>
                <w:szCs w:val="18"/>
                <w:lang w:val="et-EE"/>
              </w:rPr>
              <w:t xml:space="preserve"> </w:t>
            </w:r>
            <w:r w:rsidR="00336178" w:rsidRPr="00FD5087">
              <w:rPr>
                <w:rFonts w:cs="Arial"/>
                <w:sz w:val="18"/>
                <w:szCs w:val="18"/>
                <w:lang w:val="et-EE"/>
              </w:rPr>
              <w:t xml:space="preserve">nii otsest kui ka </w:t>
            </w:r>
            <w:r w:rsidR="00336178" w:rsidRPr="00FD5087">
              <w:rPr>
                <w:rFonts w:cs="Arial"/>
                <w:sz w:val="18"/>
                <w:szCs w:val="18"/>
                <w:u w:val="single"/>
                <w:lang w:val="et-EE"/>
              </w:rPr>
              <w:lastRenderedPageBreak/>
              <w:t>kaudset</w:t>
            </w:r>
            <w:r w:rsidR="00336178" w:rsidRPr="00FD5087">
              <w:rPr>
                <w:rFonts w:cs="Arial"/>
                <w:sz w:val="18"/>
                <w:szCs w:val="18"/>
                <w:lang w:val="et-EE"/>
              </w:rPr>
              <w:t>, kliimamuutustele ja kasvuhoonegaaside heitele” (lk 26, ka lk 22).</w:t>
            </w:r>
            <w:r w:rsidR="00336178" w:rsidRPr="00FD5087">
              <w:rPr>
                <w:rFonts w:cs="Arial"/>
                <w:bCs w:val="0"/>
                <w:sz w:val="18"/>
                <w:szCs w:val="18"/>
                <w:lang w:val="et-EE"/>
              </w:rPr>
              <w:t xml:space="preserve"> </w:t>
            </w:r>
            <w:r w:rsidR="00336178" w:rsidRPr="00FD5087">
              <w:rPr>
                <w:rFonts w:cs="Arial"/>
                <w:sz w:val="18"/>
                <w:szCs w:val="18"/>
                <w:lang w:val="et-EE"/>
              </w:rPr>
              <w:t xml:space="preserve">Tõsiasjaga, et kumulatiivse mõju hindamine on programmi 5. </w:t>
            </w:r>
            <w:proofErr w:type="spellStart"/>
            <w:r w:rsidR="00336178" w:rsidRPr="00FD5087">
              <w:rPr>
                <w:rFonts w:cs="Arial"/>
                <w:sz w:val="18"/>
                <w:szCs w:val="18"/>
                <w:lang w:val="et-EE"/>
              </w:rPr>
              <w:t>ptk-s</w:t>
            </w:r>
            <w:proofErr w:type="spellEnd"/>
            <w:r w:rsidR="00336178" w:rsidRPr="00FD5087">
              <w:rPr>
                <w:rFonts w:cs="Arial"/>
                <w:sz w:val="18"/>
                <w:szCs w:val="18"/>
                <w:lang w:val="et-EE"/>
              </w:rPr>
              <w:t xml:space="preserve"> sõnaselgelt ära nimetatud,</w:t>
            </w:r>
            <w:r w:rsidR="00336178" w:rsidRPr="00FD5087">
              <w:rPr>
                <w:rFonts w:cs="Arial"/>
                <w:bCs w:val="0"/>
                <w:sz w:val="18"/>
                <w:szCs w:val="18"/>
                <w:lang w:val="et-EE"/>
              </w:rPr>
              <w:t xml:space="preserve"> </w:t>
            </w:r>
            <w:r w:rsidR="00336178" w:rsidRPr="00FD5087">
              <w:rPr>
                <w:rFonts w:cs="Arial"/>
                <w:sz w:val="18"/>
                <w:szCs w:val="18"/>
                <w:lang w:val="et-EE"/>
              </w:rPr>
              <w:t>on hindaja juhtinud tähelepanu sellele, et selle valdkonna puhul võib just kumulatiivne mõju</w:t>
            </w:r>
            <w:r w:rsidR="00336178" w:rsidRPr="00FD5087">
              <w:rPr>
                <w:rFonts w:cs="Arial"/>
                <w:bCs w:val="0"/>
                <w:sz w:val="18"/>
                <w:szCs w:val="18"/>
                <w:lang w:val="et-EE"/>
              </w:rPr>
              <w:t xml:space="preserve"> </w:t>
            </w:r>
            <w:r w:rsidR="00336178" w:rsidRPr="00FD5087">
              <w:rPr>
                <w:rFonts w:cs="Arial"/>
                <w:sz w:val="18"/>
                <w:szCs w:val="18"/>
                <w:lang w:val="et-EE"/>
              </w:rPr>
              <w:t>ehk nii otsene kui ka kaudne mõju osutuda oluliseks (lk 37). KMH aruandes on aga jäetud</w:t>
            </w:r>
            <w:r w:rsidR="00336178" w:rsidRPr="00FD5087">
              <w:rPr>
                <w:rFonts w:cs="Arial"/>
                <w:bCs w:val="0"/>
                <w:sz w:val="18"/>
                <w:szCs w:val="18"/>
                <w:lang w:val="et-EE"/>
              </w:rPr>
              <w:t xml:space="preserve"> </w:t>
            </w:r>
            <w:r w:rsidR="00336178" w:rsidRPr="00FD5087">
              <w:rPr>
                <w:rFonts w:cs="Arial"/>
                <w:sz w:val="18"/>
                <w:szCs w:val="18"/>
                <w:lang w:val="et-EE"/>
              </w:rPr>
              <w:t xml:space="preserve">hindamata õlitehases valmistatavate toodete mõju kliimale (põlevkivi </w:t>
            </w:r>
            <w:proofErr w:type="spellStart"/>
            <w:r w:rsidR="00336178" w:rsidRPr="00FD5087">
              <w:rPr>
                <w:rFonts w:cs="Arial"/>
                <w:sz w:val="18"/>
                <w:szCs w:val="18"/>
                <w:lang w:val="et-EE"/>
              </w:rPr>
              <w:t>keskõlis</w:t>
            </w:r>
            <w:proofErr w:type="spellEnd"/>
            <w:r w:rsidR="00336178" w:rsidRPr="00FD5087">
              <w:rPr>
                <w:rFonts w:cs="Arial"/>
                <w:sz w:val="18"/>
                <w:szCs w:val="18"/>
                <w:lang w:val="et-EE"/>
              </w:rPr>
              <w:t>,</w:t>
            </w:r>
            <w:r w:rsidR="00336178" w:rsidRPr="00FD5087">
              <w:rPr>
                <w:rFonts w:cs="Arial"/>
                <w:bCs w:val="0"/>
                <w:sz w:val="18"/>
                <w:szCs w:val="18"/>
                <w:lang w:val="et-EE"/>
              </w:rPr>
              <w:t xml:space="preserve"> </w:t>
            </w:r>
            <w:r w:rsidR="00336178" w:rsidRPr="00FD5087">
              <w:rPr>
                <w:rFonts w:cs="Arial"/>
                <w:sz w:val="18"/>
                <w:szCs w:val="18"/>
                <w:lang w:val="et-EE"/>
              </w:rPr>
              <w:t xml:space="preserve">põlevkivibensiinis ning poolkoksis sisalduv süsinik ning põlevkivi </w:t>
            </w:r>
            <w:proofErr w:type="spellStart"/>
            <w:r w:rsidR="00336178" w:rsidRPr="00FD5087">
              <w:rPr>
                <w:rFonts w:cs="Arial"/>
                <w:sz w:val="18"/>
                <w:szCs w:val="18"/>
                <w:lang w:val="et-EE"/>
              </w:rPr>
              <w:t>keskõli</w:t>
            </w:r>
            <w:proofErr w:type="spellEnd"/>
            <w:r w:rsidR="00336178" w:rsidRPr="00FD5087">
              <w:rPr>
                <w:rFonts w:cs="Arial"/>
                <w:sz w:val="18"/>
                <w:szCs w:val="18"/>
                <w:lang w:val="et-EE"/>
              </w:rPr>
              <w:t xml:space="preserve"> ja </w:t>
            </w:r>
            <w:r w:rsidR="00336178" w:rsidRPr="00FD5087">
              <w:rPr>
                <w:rFonts w:cs="Arial"/>
                <w:bCs w:val="0"/>
                <w:sz w:val="18"/>
                <w:szCs w:val="18"/>
                <w:lang w:val="et-EE"/>
              </w:rPr>
              <w:t xml:space="preserve"> p</w:t>
            </w:r>
            <w:r w:rsidR="00336178" w:rsidRPr="00FD5087">
              <w:rPr>
                <w:rFonts w:cs="Arial"/>
                <w:sz w:val="18"/>
                <w:szCs w:val="18"/>
                <w:lang w:val="et-EE"/>
              </w:rPr>
              <w:t>õlevkivibensiini</w:t>
            </w:r>
            <w:r w:rsidR="00336178" w:rsidRPr="00FD5087">
              <w:rPr>
                <w:rFonts w:cs="Arial"/>
                <w:bCs w:val="0"/>
                <w:sz w:val="18"/>
                <w:szCs w:val="18"/>
                <w:lang w:val="et-EE"/>
              </w:rPr>
              <w:t xml:space="preserve"> </w:t>
            </w:r>
            <w:r w:rsidR="00336178" w:rsidRPr="00FD5087">
              <w:rPr>
                <w:rFonts w:cs="Arial"/>
                <w:sz w:val="18"/>
                <w:szCs w:val="18"/>
                <w:lang w:val="et-EE"/>
              </w:rPr>
              <w:t xml:space="preserve">kasutamisel tekkiv CO2 heide, lk 23) ehk õlitehasega kaasnev </w:t>
            </w:r>
            <w:r w:rsidR="00336178" w:rsidRPr="00FD5087">
              <w:rPr>
                <w:rFonts w:cs="Arial"/>
                <w:sz w:val="18"/>
                <w:szCs w:val="18"/>
                <w:u w:val="single"/>
                <w:lang w:val="et-EE"/>
              </w:rPr>
              <w:t>kaudne</w:t>
            </w:r>
            <w:r w:rsidR="00336178" w:rsidRPr="00FD5087">
              <w:rPr>
                <w:rFonts w:cs="Arial"/>
                <w:sz w:val="18"/>
                <w:szCs w:val="18"/>
                <w:lang w:val="et-EE"/>
              </w:rPr>
              <w:t xml:space="preserve"> mõju kliimamuutustele.</w:t>
            </w:r>
            <w:r w:rsidR="00336178" w:rsidRPr="00FD5087">
              <w:rPr>
                <w:rFonts w:cs="Arial"/>
                <w:bCs w:val="0"/>
                <w:sz w:val="18"/>
                <w:szCs w:val="18"/>
                <w:lang w:val="et-EE"/>
              </w:rPr>
              <w:t xml:space="preserve"> </w:t>
            </w:r>
            <w:r w:rsidR="00336178" w:rsidRPr="00FD5087">
              <w:rPr>
                <w:rFonts w:cs="Arial"/>
                <w:sz w:val="18"/>
                <w:szCs w:val="18"/>
                <w:lang w:val="et-EE"/>
              </w:rPr>
              <w:t>Otsust on põhjendatud paljasõnalise viitega rahvusvahelisele praktikale ning tõigale, et</w:t>
            </w:r>
            <w:r w:rsidR="00336178" w:rsidRPr="00FD5087">
              <w:rPr>
                <w:rFonts w:cs="Arial"/>
                <w:bCs w:val="0"/>
                <w:sz w:val="18"/>
                <w:szCs w:val="18"/>
                <w:lang w:val="et-EE"/>
              </w:rPr>
              <w:t xml:space="preserve"> </w:t>
            </w:r>
            <w:r w:rsidR="00336178" w:rsidRPr="00FD5087">
              <w:rPr>
                <w:rFonts w:cs="Arial"/>
                <w:sz w:val="18"/>
                <w:szCs w:val="18"/>
                <w:lang w:val="et-EE"/>
              </w:rPr>
              <w:t>toodete mõju kliimale ei kajastu Eesti KHG statistikas (lk 21). Nagu märgitud punktis 2, ei ole</w:t>
            </w:r>
            <w:r w:rsidR="00336178" w:rsidRPr="00FD5087">
              <w:rPr>
                <w:rFonts w:cs="Arial"/>
                <w:bCs w:val="0"/>
                <w:sz w:val="18"/>
                <w:szCs w:val="18"/>
                <w:lang w:val="et-EE"/>
              </w:rPr>
              <w:t xml:space="preserve"> </w:t>
            </w:r>
            <w:r w:rsidR="00336178" w:rsidRPr="00FD5087">
              <w:rPr>
                <w:rFonts w:cs="Arial"/>
                <w:sz w:val="18"/>
                <w:szCs w:val="18"/>
                <w:lang w:val="et-EE"/>
              </w:rPr>
              <w:t>kasvuhoonegaaside heite eksport kooskõlas üleilmse kliimapoliitika eesmärkidega.</w:t>
            </w:r>
            <w:r w:rsidR="00336178" w:rsidRPr="00FD5087">
              <w:rPr>
                <w:rFonts w:cs="Arial"/>
                <w:bCs w:val="0"/>
                <w:sz w:val="18"/>
                <w:szCs w:val="18"/>
                <w:lang w:val="et-EE"/>
              </w:rPr>
              <w:t xml:space="preserve"> </w:t>
            </w:r>
          </w:p>
          <w:p w14:paraId="06E8E857" w14:textId="2490BA29" w:rsidR="00336178" w:rsidRPr="00FD5087" w:rsidRDefault="00336178" w:rsidP="00336178">
            <w:pPr>
              <w:spacing w:beforeLines="60" w:before="144"/>
              <w:rPr>
                <w:rFonts w:cs="Arial"/>
                <w:bCs w:val="0"/>
                <w:sz w:val="18"/>
                <w:szCs w:val="18"/>
                <w:lang w:val="et-EE"/>
              </w:rPr>
            </w:pPr>
            <w:r w:rsidRPr="00FD5087">
              <w:rPr>
                <w:rFonts w:cs="Arial"/>
                <w:sz w:val="18"/>
                <w:szCs w:val="18"/>
                <w:lang w:val="et-EE"/>
              </w:rPr>
              <w:t>HMS § 6 kohaselt peab haldusorgan selgitama välja ja võtma arvesse kõik otsuse tegemisel</w:t>
            </w:r>
            <w:r w:rsidRPr="00FD5087">
              <w:rPr>
                <w:rFonts w:cs="Arial"/>
                <w:bCs w:val="0"/>
                <w:sz w:val="18"/>
                <w:szCs w:val="18"/>
                <w:lang w:val="et-EE"/>
              </w:rPr>
              <w:t xml:space="preserve"> </w:t>
            </w:r>
            <w:r w:rsidRPr="00FD5087">
              <w:rPr>
                <w:rFonts w:cs="Arial"/>
                <w:sz w:val="18"/>
                <w:szCs w:val="18"/>
                <w:lang w:val="et-EE"/>
              </w:rPr>
              <w:t>olulised asjaolud. Kui Eesti piiridest väljaspool õhku paiskuva heite kahjulik mõju jõuab Eesti</w:t>
            </w:r>
            <w:r w:rsidRPr="00FD5087">
              <w:rPr>
                <w:rFonts w:cs="Arial"/>
                <w:bCs w:val="0"/>
                <w:sz w:val="18"/>
                <w:szCs w:val="18"/>
                <w:lang w:val="et-EE"/>
              </w:rPr>
              <w:t xml:space="preserve"> </w:t>
            </w:r>
            <w:r w:rsidRPr="00FD5087">
              <w:rPr>
                <w:rFonts w:cs="Arial"/>
                <w:sz w:val="18"/>
                <w:szCs w:val="18"/>
                <w:lang w:val="et-EE"/>
              </w:rPr>
              <w:t>territooriumini, võib tekkida kohustus pidada otsuse tegemisel silmas Eesti loodusvarade kui rahvusliku rikkuse säästliku kasutamise nõuet.</w:t>
            </w:r>
            <w:r w:rsidRPr="00FD5087">
              <w:rPr>
                <w:rStyle w:val="FootnoteReference"/>
                <w:rFonts w:cs="Arial"/>
                <w:bCs w:val="0"/>
                <w:sz w:val="18"/>
                <w:szCs w:val="18"/>
                <w:lang w:val="et-EE"/>
              </w:rPr>
              <w:footnoteReference w:id="11"/>
            </w:r>
            <w:r w:rsidRPr="00FD5087">
              <w:rPr>
                <w:rFonts w:cs="Arial"/>
                <w:sz w:val="18"/>
                <w:szCs w:val="18"/>
                <w:lang w:val="et-EE"/>
              </w:rPr>
              <w:t xml:space="preserve"> Arvestades tõsiasju, et süsinikuheide ei</w:t>
            </w:r>
            <w:r w:rsidRPr="00FD5087">
              <w:rPr>
                <w:rFonts w:cs="Arial"/>
                <w:bCs w:val="0"/>
                <w:sz w:val="18"/>
                <w:szCs w:val="18"/>
                <w:lang w:val="et-EE"/>
              </w:rPr>
              <w:t xml:space="preserve"> </w:t>
            </w:r>
            <w:r w:rsidRPr="00FD5087">
              <w:rPr>
                <w:rFonts w:cs="Arial"/>
                <w:sz w:val="18"/>
                <w:szCs w:val="18"/>
                <w:lang w:val="et-EE"/>
              </w:rPr>
              <w:t>tunne riigipiire ning põhjustab kliimamuutuseid üle maailma ning et süvenevate</w:t>
            </w:r>
            <w:r w:rsidRPr="00FD5087">
              <w:rPr>
                <w:rFonts w:cs="Arial"/>
                <w:bCs w:val="0"/>
                <w:sz w:val="18"/>
                <w:szCs w:val="18"/>
                <w:lang w:val="et-EE"/>
              </w:rPr>
              <w:t xml:space="preserve"> </w:t>
            </w:r>
            <w:r w:rsidRPr="00FD5087">
              <w:rPr>
                <w:rFonts w:cs="Arial"/>
                <w:sz w:val="18"/>
                <w:szCs w:val="18"/>
                <w:lang w:val="et-EE"/>
              </w:rPr>
              <w:t>kliimamuutuste tagajärjed avalduvad ka Eestis (nt suureneb enneaegsete surmade arv</w:t>
            </w:r>
            <w:r w:rsidRPr="00FD5087">
              <w:rPr>
                <w:rFonts w:cs="Arial"/>
                <w:bCs w:val="0"/>
                <w:sz w:val="18"/>
                <w:szCs w:val="18"/>
                <w:lang w:val="et-EE"/>
              </w:rPr>
              <w:t xml:space="preserve"> </w:t>
            </w:r>
            <w:r w:rsidRPr="00FD5087">
              <w:rPr>
                <w:rFonts w:cs="Arial"/>
                <w:sz w:val="18"/>
                <w:szCs w:val="18"/>
                <w:lang w:val="et-EE"/>
              </w:rPr>
              <w:t>kuumalainete ajal</w:t>
            </w:r>
            <w:r w:rsidR="001C5847" w:rsidRPr="00FD5087">
              <w:rPr>
                <w:rStyle w:val="FootnoteReference"/>
                <w:rFonts w:cs="Arial"/>
                <w:sz w:val="18"/>
                <w:szCs w:val="18"/>
                <w:lang w:val="et-EE"/>
              </w:rPr>
              <w:footnoteReference w:id="12"/>
            </w:r>
            <w:r w:rsidRPr="00FD5087">
              <w:rPr>
                <w:rFonts w:cs="Arial"/>
                <w:sz w:val="18"/>
                <w:szCs w:val="18"/>
                <w:lang w:val="et-EE"/>
              </w:rPr>
              <w:t>), on ilmne, et õlitehase toodete põletamisega kaasnev kliimamuutuste</w:t>
            </w:r>
            <w:r w:rsidRPr="00FD5087">
              <w:rPr>
                <w:rFonts w:cs="Arial"/>
                <w:bCs w:val="0"/>
                <w:sz w:val="18"/>
                <w:szCs w:val="18"/>
                <w:lang w:val="et-EE"/>
              </w:rPr>
              <w:t xml:space="preserve"> </w:t>
            </w:r>
            <w:r w:rsidRPr="00FD5087">
              <w:rPr>
                <w:rFonts w:cs="Arial"/>
                <w:sz w:val="18"/>
                <w:szCs w:val="18"/>
                <w:lang w:val="et-EE"/>
              </w:rPr>
              <w:t xml:space="preserve">süvenemine jõuab ka Eesti territooriumini. Ka </w:t>
            </w:r>
            <w:r w:rsidRPr="00FD5087">
              <w:rPr>
                <w:rFonts w:cs="Arial"/>
                <w:sz w:val="18"/>
                <w:szCs w:val="18"/>
                <w:u w:val="single"/>
                <w:lang w:val="et-EE"/>
              </w:rPr>
              <w:t>Euroopa Kohus</w:t>
            </w:r>
            <w:r w:rsidRPr="00FD5087">
              <w:rPr>
                <w:rFonts w:cs="Arial"/>
                <w:sz w:val="18"/>
                <w:szCs w:val="18"/>
                <w:lang w:val="et-EE"/>
              </w:rPr>
              <w:t xml:space="preserve"> on mitmes lahendis märkinud,</w:t>
            </w:r>
            <w:r w:rsidRPr="00FD5087">
              <w:rPr>
                <w:rFonts w:cs="Arial"/>
                <w:bCs w:val="0"/>
                <w:sz w:val="18"/>
                <w:szCs w:val="18"/>
                <w:lang w:val="et-EE"/>
              </w:rPr>
              <w:t xml:space="preserve"> </w:t>
            </w:r>
            <w:r w:rsidRPr="00FD5087">
              <w:rPr>
                <w:rFonts w:cs="Arial"/>
                <w:sz w:val="18"/>
                <w:szCs w:val="18"/>
                <w:lang w:val="et-EE"/>
              </w:rPr>
              <w:t>et KMH käigus tuleb hinnata ka mõju, mida võib avaldada kavandatavate “tööde tulemuste</w:t>
            </w:r>
            <w:r w:rsidRPr="00FD5087">
              <w:rPr>
                <w:rFonts w:cs="Arial"/>
                <w:bCs w:val="0"/>
                <w:sz w:val="18"/>
                <w:szCs w:val="18"/>
                <w:lang w:val="et-EE"/>
              </w:rPr>
              <w:t xml:space="preserve"> </w:t>
            </w:r>
            <w:r w:rsidRPr="00FD5087">
              <w:rPr>
                <w:rFonts w:cs="Arial"/>
                <w:sz w:val="18"/>
                <w:szCs w:val="18"/>
                <w:lang w:val="et-EE"/>
              </w:rPr>
              <w:t>kasutamine ja käitamine</w:t>
            </w:r>
            <w:r w:rsidR="001C5847" w:rsidRPr="00FD5087">
              <w:rPr>
                <w:rStyle w:val="FootnoteReference"/>
                <w:rFonts w:cs="Arial"/>
                <w:sz w:val="18"/>
                <w:szCs w:val="18"/>
                <w:lang w:val="et-EE"/>
              </w:rPr>
              <w:footnoteReference w:id="13"/>
            </w:r>
            <w:r w:rsidRPr="00FD5087">
              <w:rPr>
                <w:rFonts w:cs="Arial"/>
                <w:sz w:val="18"/>
                <w:szCs w:val="18"/>
                <w:lang w:val="et-EE"/>
              </w:rPr>
              <w:t xml:space="preserve">”. Seega on õlitehase toodete põletamisega </w:t>
            </w:r>
            <w:r w:rsidRPr="00FD5087">
              <w:rPr>
                <w:rFonts w:cs="Arial"/>
                <w:bCs w:val="0"/>
                <w:sz w:val="18"/>
                <w:szCs w:val="18"/>
                <w:lang w:val="et-EE"/>
              </w:rPr>
              <w:t xml:space="preserve"> k</w:t>
            </w:r>
            <w:r w:rsidRPr="00FD5087">
              <w:rPr>
                <w:rFonts w:cs="Arial"/>
                <w:sz w:val="18"/>
                <w:szCs w:val="18"/>
                <w:lang w:val="et-EE"/>
              </w:rPr>
              <w:t>aasnev süsinikuheide</w:t>
            </w:r>
            <w:r w:rsidRPr="00FD5087">
              <w:rPr>
                <w:rFonts w:cs="Arial"/>
                <w:bCs w:val="0"/>
                <w:sz w:val="18"/>
                <w:szCs w:val="18"/>
                <w:lang w:val="et-EE"/>
              </w:rPr>
              <w:t xml:space="preserve"> </w:t>
            </w:r>
            <w:r w:rsidRPr="00FD5087">
              <w:rPr>
                <w:rFonts w:cs="Arial"/>
                <w:sz w:val="18"/>
                <w:szCs w:val="18"/>
                <w:lang w:val="et-EE"/>
              </w:rPr>
              <w:t xml:space="preserve">oluline asjaolu, mida tuleb võtta arvesse </w:t>
            </w:r>
            <w:r w:rsidRPr="00FD5087">
              <w:rPr>
                <w:rFonts w:cs="Arial"/>
                <w:sz w:val="18"/>
                <w:szCs w:val="18"/>
                <w:lang w:val="et-EE"/>
              </w:rPr>
              <w:lastRenderedPageBreak/>
              <w:t>õlitehase kasutamise keskkonnamõju hindamisel</w:t>
            </w:r>
            <w:r w:rsidRPr="00FD5087">
              <w:rPr>
                <w:rFonts w:cs="Arial"/>
                <w:bCs w:val="0"/>
                <w:sz w:val="18"/>
                <w:szCs w:val="18"/>
                <w:lang w:val="et-EE"/>
              </w:rPr>
              <w:t xml:space="preserve"> </w:t>
            </w:r>
            <w:r w:rsidRPr="00FD5087">
              <w:rPr>
                <w:rFonts w:cs="Arial"/>
                <w:sz w:val="18"/>
                <w:szCs w:val="18"/>
                <w:lang w:val="et-EE"/>
              </w:rPr>
              <w:t>ning keskkonnakompleksloa andmisel.</w:t>
            </w:r>
          </w:p>
          <w:p w14:paraId="0B1123B6" w14:textId="12D4EF4A" w:rsidR="00F41896" w:rsidRPr="00FD5087" w:rsidRDefault="000677D5" w:rsidP="00F41896">
            <w:pPr>
              <w:spacing w:beforeLines="60" w:before="144"/>
              <w:rPr>
                <w:rFonts w:cs="Arial"/>
                <w:bCs w:val="0"/>
                <w:sz w:val="18"/>
                <w:szCs w:val="18"/>
                <w:lang w:val="et-EE"/>
              </w:rPr>
            </w:pPr>
            <w:r>
              <w:rPr>
                <w:rFonts w:cs="Arial"/>
                <w:sz w:val="18"/>
                <w:szCs w:val="18"/>
                <w:lang w:val="et-EE"/>
              </w:rPr>
              <w:t xml:space="preserve">(3.1b). </w:t>
            </w:r>
            <w:r w:rsidR="00F41896" w:rsidRPr="00FD5087">
              <w:rPr>
                <w:rFonts w:cs="Arial"/>
                <w:sz w:val="18"/>
                <w:szCs w:val="18"/>
                <w:lang w:val="et-EE"/>
              </w:rPr>
              <w:t xml:space="preserve">Asjaolu tähtsust suurendab veel see, et lõppeval kütteperioodil anti Eestis </w:t>
            </w:r>
            <w:r w:rsidR="00F41896" w:rsidRPr="00FD5087">
              <w:rPr>
                <w:rFonts w:cs="Arial"/>
                <w:sz w:val="18"/>
                <w:szCs w:val="18"/>
                <w:u w:val="single"/>
                <w:lang w:val="et-EE"/>
              </w:rPr>
              <w:t>erakorraliselt lube</w:t>
            </w:r>
            <w:r w:rsidR="00F41896" w:rsidRPr="00FD5087">
              <w:rPr>
                <w:rFonts w:cs="Arial"/>
                <w:bCs w:val="0"/>
                <w:sz w:val="18"/>
                <w:szCs w:val="18"/>
                <w:u w:val="single"/>
                <w:lang w:val="et-EE"/>
              </w:rPr>
              <w:t xml:space="preserve"> </w:t>
            </w:r>
            <w:r w:rsidR="00F41896" w:rsidRPr="00FD5087">
              <w:rPr>
                <w:rFonts w:cs="Arial"/>
                <w:sz w:val="18"/>
                <w:szCs w:val="18"/>
                <w:u w:val="single"/>
                <w:lang w:val="et-EE"/>
              </w:rPr>
              <w:t>keskküttekateldes põlevkiviõli kasutamiseks</w:t>
            </w:r>
            <w:r w:rsidR="00F41896" w:rsidRPr="00FD5087">
              <w:rPr>
                <w:rFonts w:cs="Arial"/>
                <w:sz w:val="18"/>
                <w:szCs w:val="18"/>
                <w:lang w:val="et-EE"/>
              </w:rPr>
              <w:t>, mis lükkab ümber KMH aruandes esitatud väite,</w:t>
            </w:r>
            <w:r w:rsidR="00F41896" w:rsidRPr="00FD5087">
              <w:rPr>
                <w:rFonts w:cs="Arial"/>
                <w:bCs w:val="0"/>
                <w:sz w:val="18"/>
                <w:szCs w:val="18"/>
                <w:lang w:val="et-EE"/>
              </w:rPr>
              <w:t xml:space="preserve"> </w:t>
            </w:r>
            <w:r w:rsidR="00F41896" w:rsidRPr="00FD5087">
              <w:rPr>
                <w:rFonts w:cs="Arial"/>
                <w:sz w:val="18"/>
                <w:szCs w:val="18"/>
                <w:lang w:val="et-EE"/>
              </w:rPr>
              <w:t>et põlevkiviõli kasutamisega kaasnev heide üldse Eesti statistikas ei kajastu (lk 23). Kuigi</w:t>
            </w:r>
            <w:r w:rsidR="00F41896" w:rsidRPr="00FD5087">
              <w:rPr>
                <w:rFonts w:cs="Arial"/>
                <w:bCs w:val="0"/>
                <w:sz w:val="18"/>
                <w:szCs w:val="18"/>
                <w:lang w:val="et-EE"/>
              </w:rPr>
              <w:t xml:space="preserve"> </w:t>
            </w:r>
            <w:r w:rsidR="00F41896" w:rsidRPr="00FD5087">
              <w:rPr>
                <w:rFonts w:cs="Arial"/>
                <w:sz w:val="18"/>
                <w:szCs w:val="18"/>
                <w:lang w:val="et-EE"/>
              </w:rPr>
              <w:t>Enefit280-2 seadme rajamine ei pruugi suurendada põlevkiviõli nõudlust Eestis, võidakse osa</w:t>
            </w:r>
            <w:r w:rsidR="00F41896" w:rsidRPr="00FD5087">
              <w:rPr>
                <w:rFonts w:cs="Arial"/>
                <w:bCs w:val="0"/>
                <w:sz w:val="18"/>
                <w:szCs w:val="18"/>
                <w:lang w:val="et-EE"/>
              </w:rPr>
              <w:t xml:space="preserve"> </w:t>
            </w:r>
            <w:r w:rsidR="00F41896" w:rsidRPr="00FD5087">
              <w:rPr>
                <w:rFonts w:cs="Arial"/>
                <w:sz w:val="18"/>
                <w:szCs w:val="18"/>
                <w:lang w:val="et-EE"/>
              </w:rPr>
              <w:t>Enefit280-2 seadmes toodetavast põlevkiviõlist Eestis põletada olemasoleva nõudluse korral.</w:t>
            </w:r>
            <w:r w:rsidR="00F41896" w:rsidRPr="00FD5087">
              <w:rPr>
                <w:rFonts w:cs="Arial"/>
                <w:bCs w:val="0"/>
                <w:sz w:val="18"/>
                <w:szCs w:val="18"/>
                <w:lang w:val="et-EE"/>
              </w:rPr>
              <w:t xml:space="preserve"> </w:t>
            </w:r>
          </w:p>
          <w:p w14:paraId="622B2B6C" w14:textId="77777777" w:rsidR="00F41896" w:rsidRPr="00FD5087" w:rsidRDefault="00F41896" w:rsidP="00F41896">
            <w:pPr>
              <w:spacing w:beforeLines="60" w:before="144"/>
              <w:rPr>
                <w:rFonts w:cs="Arial"/>
                <w:bCs w:val="0"/>
                <w:sz w:val="18"/>
                <w:szCs w:val="18"/>
                <w:lang w:val="et-EE"/>
              </w:rPr>
            </w:pPr>
            <w:r w:rsidRPr="00FD5087">
              <w:rPr>
                <w:rFonts w:cs="Arial"/>
                <w:sz w:val="18"/>
                <w:szCs w:val="18"/>
                <w:lang w:val="et-EE"/>
              </w:rPr>
              <w:t>Ent nagu on ka KMH aruandes märgitud, ei muuda heite mõju kliimale see, millise riigi</w:t>
            </w:r>
            <w:r w:rsidRPr="00FD5087">
              <w:rPr>
                <w:rFonts w:cs="Arial"/>
                <w:bCs w:val="0"/>
                <w:sz w:val="18"/>
                <w:szCs w:val="18"/>
                <w:lang w:val="et-EE"/>
              </w:rPr>
              <w:t xml:space="preserve"> </w:t>
            </w:r>
            <w:r w:rsidRPr="00FD5087">
              <w:rPr>
                <w:rFonts w:cs="Arial"/>
                <w:sz w:val="18"/>
                <w:szCs w:val="18"/>
                <w:lang w:val="et-EE"/>
              </w:rPr>
              <w:t>statistikas seda arvestatakse (lk 21) või kas üldse kuskil arvestatakse: aruandes on märgitud,</w:t>
            </w:r>
            <w:r w:rsidRPr="00FD5087">
              <w:rPr>
                <w:rFonts w:cs="Arial"/>
                <w:bCs w:val="0"/>
                <w:sz w:val="18"/>
                <w:szCs w:val="18"/>
                <w:lang w:val="et-EE"/>
              </w:rPr>
              <w:t xml:space="preserve"> </w:t>
            </w:r>
            <w:r w:rsidRPr="00FD5087">
              <w:rPr>
                <w:rFonts w:cs="Arial"/>
                <w:sz w:val="18"/>
                <w:szCs w:val="18"/>
                <w:lang w:val="et-EE"/>
              </w:rPr>
              <w:t>et toodete kasutamise mõjud “</w:t>
            </w:r>
            <w:r w:rsidRPr="00FD5087">
              <w:rPr>
                <w:rFonts w:cs="Arial"/>
                <w:sz w:val="18"/>
                <w:szCs w:val="18"/>
                <w:u w:val="single"/>
                <w:lang w:val="et-EE"/>
              </w:rPr>
              <w:t>peaksid ideaalis olema kajastatud mõne teise riigi statistikas</w:t>
            </w:r>
            <w:r w:rsidRPr="00FD5087">
              <w:rPr>
                <w:rFonts w:cs="Arial"/>
                <w:bCs w:val="0"/>
                <w:sz w:val="18"/>
                <w:szCs w:val="18"/>
                <w:u w:val="single"/>
                <w:lang w:val="et-EE"/>
              </w:rPr>
              <w:t xml:space="preserve"> </w:t>
            </w:r>
            <w:r w:rsidRPr="00FD5087">
              <w:rPr>
                <w:rFonts w:cs="Arial"/>
                <w:sz w:val="18"/>
                <w:szCs w:val="18"/>
                <w:u w:val="single"/>
                <w:lang w:val="et-EE"/>
              </w:rPr>
              <w:t>või siis arvestatud rahvusvaheliselt jagatud vastutuse raames</w:t>
            </w:r>
            <w:r w:rsidRPr="00FD5087">
              <w:rPr>
                <w:rFonts w:cs="Arial"/>
                <w:sz w:val="18"/>
                <w:szCs w:val="18"/>
                <w:lang w:val="et-EE"/>
              </w:rPr>
              <w:t>” ehk pole kindel, et toodete</w:t>
            </w:r>
            <w:r w:rsidRPr="00FD5087">
              <w:rPr>
                <w:rFonts w:cs="Arial"/>
                <w:bCs w:val="0"/>
                <w:sz w:val="18"/>
                <w:szCs w:val="18"/>
                <w:lang w:val="et-EE"/>
              </w:rPr>
              <w:t xml:space="preserve"> </w:t>
            </w:r>
            <w:r w:rsidRPr="00FD5087">
              <w:rPr>
                <w:rFonts w:cs="Arial"/>
                <w:sz w:val="18"/>
                <w:szCs w:val="18"/>
                <w:lang w:val="et-EE"/>
              </w:rPr>
              <w:t>kasutamise mõju üldse kuskil arvesse võetakse (lk 22).</w:t>
            </w:r>
            <w:r w:rsidRPr="00FD5087">
              <w:rPr>
                <w:rFonts w:cs="Arial"/>
                <w:bCs w:val="0"/>
                <w:sz w:val="18"/>
                <w:szCs w:val="18"/>
                <w:lang w:val="et-EE"/>
              </w:rPr>
              <w:t xml:space="preserve"> </w:t>
            </w:r>
          </w:p>
          <w:p w14:paraId="3DB40991" w14:textId="3FBB0A59" w:rsidR="00F41896" w:rsidRPr="00FD5087" w:rsidRDefault="00F41896" w:rsidP="00F41896">
            <w:pPr>
              <w:spacing w:beforeLines="60" w:before="144"/>
              <w:rPr>
                <w:rFonts w:cs="Arial"/>
                <w:sz w:val="18"/>
                <w:szCs w:val="18"/>
                <w:lang w:val="et-EE"/>
              </w:rPr>
            </w:pPr>
            <w:r w:rsidRPr="00FD5087">
              <w:rPr>
                <w:rFonts w:cs="Arial"/>
                <w:sz w:val="18"/>
                <w:szCs w:val="18"/>
                <w:lang w:val="et-EE"/>
              </w:rPr>
              <w:t xml:space="preserve">Arvestades seda, et õlitehase kui </w:t>
            </w:r>
            <w:proofErr w:type="spellStart"/>
            <w:r w:rsidRPr="00FD5087">
              <w:rPr>
                <w:rFonts w:cs="Arial"/>
                <w:sz w:val="18"/>
                <w:szCs w:val="18"/>
                <w:lang w:val="et-EE"/>
              </w:rPr>
              <w:t>fossilkütuse</w:t>
            </w:r>
            <w:proofErr w:type="spellEnd"/>
            <w:r w:rsidRPr="00FD5087">
              <w:rPr>
                <w:rFonts w:cs="Arial"/>
                <w:sz w:val="18"/>
                <w:szCs w:val="18"/>
                <w:lang w:val="et-EE"/>
              </w:rPr>
              <w:t xml:space="preserve"> tehase kogu (sh toodete) kliimamõju andmete</w:t>
            </w:r>
            <w:r w:rsidRPr="00FD5087">
              <w:rPr>
                <w:rFonts w:cs="Arial"/>
                <w:bCs w:val="0"/>
                <w:sz w:val="18"/>
                <w:szCs w:val="18"/>
                <w:lang w:val="et-EE"/>
              </w:rPr>
              <w:t xml:space="preserve"> </w:t>
            </w:r>
            <w:r w:rsidRPr="00FD5087">
              <w:rPr>
                <w:rFonts w:cs="Arial"/>
                <w:sz w:val="18"/>
                <w:szCs w:val="18"/>
                <w:lang w:val="et-EE"/>
              </w:rPr>
              <w:t>vastu on ilmselgelt oluline avalik huvi ning seda, et massibilansi põhise lähenemise põhjal (lk</w:t>
            </w:r>
            <w:r w:rsidRPr="00FD5087">
              <w:rPr>
                <w:rFonts w:cs="Arial"/>
                <w:bCs w:val="0"/>
                <w:sz w:val="18"/>
                <w:szCs w:val="18"/>
                <w:lang w:val="et-EE"/>
              </w:rPr>
              <w:t xml:space="preserve"> </w:t>
            </w:r>
            <w:r w:rsidRPr="00FD5087">
              <w:rPr>
                <w:rFonts w:cs="Arial"/>
                <w:sz w:val="18"/>
                <w:szCs w:val="18"/>
                <w:lang w:val="et-EE"/>
              </w:rPr>
              <w:t>23) on suhteliselt lihtne kindlaks teha toodetes sisalduva süsiniku kogus, palume anda</w:t>
            </w:r>
            <w:r w:rsidRPr="00FD5087">
              <w:rPr>
                <w:rFonts w:cs="Arial"/>
                <w:bCs w:val="0"/>
                <w:sz w:val="18"/>
                <w:szCs w:val="18"/>
                <w:lang w:val="et-EE"/>
              </w:rPr>
              <w:t xml:space="preserve"> </w:t>
            </w:r>
            <w:r w:rsidRPr="00FD5087">
              <w:rPr>
                <w:rFonts w:cs="Arial"/>
                <w:sz w:val="18"/>
                <w:szCs w:val="18"/>
                <w:lang w:val="et-EE"/>
              </w:rPr>
              <w:t>aruandes hinnang ka õlitehases valmivate toodete kasutamisega kaasnevale</w:t>
            </w:r>
            <w:r w:rsidRPr="00FD5087">
              <w:rPr>
                <w:rFonts w:cs="Arial"/>
                <w:bCs w:val="0"/>
                <w:sz w:val="18"/>
                <w:szCs w:val="18"/>
                <w:lang w:val="et-EE"/>
              </w:rPr>
              <w:t xml:space="preserve"> </w:t>
            </w:r>
            <w:r w:rsidRPr="00FD5087">
              <w:rPr>
                <w:rFonts w:cs="Arial"/>
                <w:sz w:val="18"/>
                <w:szCs w:val="18"/>
                <w:lang w:val="et-EE"/>
              </w:rPr>
              <w:t>kasvuhoonegaaside heitele. Kompleksloa taotluses esitatud andmete põhjal tekib meie</w:t>
            </w:r>
            <w:r w:rsidRPr="00FD5087">
              <w:rPr>
                <w:rFonts w:cs="Arial"/>
                <w:bCs w:val="0"/>
                <w:sz w:val="18"/>
                <w:szCs w:val="18"/>
                <w:lang w:val="et-EE"/>
              </w:rPr>
              <w:t xml:space="preserve"> </w:t>
            </w:r>
            <w:r w:rsidRPr="00FD5087">
              <w:rPr>
                <w:rFonts w:cs="Arial"/>
                <w:sz w:val="18"/>
                <w:szCs w:val="18"/>
                <w:lang w:val="et-EE"/>
              </w:rPr>
              <w:t>arvutuste kohaselt Enefit280-2 seadmes toodetava põlevkiviõli, -bensiini ja uttegaasi</w:t>
            </w:r>
            <w:r w:rsidRPr="00FD5087">
              <w:rPr>
                <w:rFonts w:cs="Arial"/>
                <w:bCs w:val="0"/>
                <w:sz w:val="18"/>
                <w:szCs w:val="18"/>
                <w:lang w:val="et-EE"/>
              </w:rPr>
              <w:t xml:space="preserve"> </w:t>
            </w:r>
            <w:r w:rsidRPr="00FD5087">
              <w:rPr>
                <w:rFonts w:cs="Arial"/>
                <w:sz w:val="18"/>
                <w:szCs w:val="18"/>
                <w:lang w:val="et-EE"/>
              </w:rPr>
              <w:t>põletamisel 1,28 miljonit tonni CO</w:t>
            </w:r>
            <w:r w:rsidRPr="00FD5087">
              <w:rPr>
                <w:rFonts w:cs="Arial"/>
                <w:sz w:val="18"/>
                <w:szCs w:val="18"/>
                <w:vertAlign w:val="subscript"/>
                <w:lang w:val="et-EE"/>
              </w:rPr>
              <w:t>2</w:t>
            </w:r>
            <w:r w:rsidRPr="00FD5087">
              <w:rPr>
                <w:rFonts w:cs="Arial"/>
                <w:sz w:val="18"/>
                <w:szCs w:val="18"/>
                <w:lang w:val="et-EE"/>
              </w:rPr>
              <w:t xml:space="preserve"> aastas. Realistliku stsenaariumi korral tekib toodete</w:t>
            </w:r>
            <w:r w:rsidRPr="00FD5087">
              <w:rPr>
                <w:rFonts w:cs="Arial"/>
                <w:bCs w:val="0"/>
                <w:sz w:val="18"/>
                <w:szCs w:val="18"/>
                <w:lang w:val="et-EE"/>
              </w:rPr>
              <w:t xml:space="preserve"> </w:t>
            </w:r>
            <w:r w:rsidRPr="00FD5087">
              <w:rPr>
                <w:rFonts w:cs="Arial"/>
                <w:sz w:val="18"/>
                <w:szCs w:val="18"/>
                <w:lang w:val="et-EE"/>
              </w:rPr>
              <w:t>põletamisel 1,02 miljonit tonni CO</w:t>
            </w:r>
            <w:r w:rsidRPr="00FD5087">
              <w:rPr>
                <w:rFonts w:cs="Arial"/>
                <w:sz w:val="18"/>
                <w:szCs w:val="18"/>
                <w:vertAlign w:val="subscript"/>
                <w:lang w:val="et-EE"/>
              </w:rPr>
              <w:t>2</w:t>
            </w:r>
            <w:r w:rsidRPr="00FD5087">
              <w:rPr>
                <w:rFonts w:cs="Arial"/>
                <w:sz w:val="18"/>
                <w:szCs w:val="18"/>
                <w:lang w:val="et-EE"/>
              </w:rPr>
              <w:t xml:space="preserve"> aastas.</w:t>
            </w:r>
          </w:p>
        </w:tc>
        <w:tc>
          <w:tcPr>
            <w:tcW w:w="7377" w:type="dxa"/>
            <w:shd w:val="clear" w:color="auto" w:fill="FFFFFF" w:themeFill="background1"/>
            <w:vAlign w:val="top"/>
          </w:tcPr>
          <w:p w14:paraId="6CEC8B32" w14:textId="34709947" w:rsidR="00DA43FA" w:rsidRPr="00FD5087" w:rsidRDefault="000677D5" w:rsidP="00DA43FA">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lastRenderedPageBreak/>
              <w:t xml:space="preserve">(3.1a). </w:t>
            </w:r>
            <w:r w:rsidR="00DA43FA" w:rsidRPr="4E2C0005">
              <w:rPr>
                <w:rFonts w:cs="Arial"/>
                <w:sz w:val="18"/>
                <w:szCs w:val="18"/>
                <w:lang w:val="et-EE"/>
              </w:rPr>
              <w:t xml:space="preserve">Nõus, et kliimamõju tuleb käsitleda kumulatiivselt ja täpselt seetõttu ongi hindamisel keskendutud Eesti riiklike kliimaeesmärkide saavutamise mõjule, mis ongi kesktee üksikprojekti mõjude (väga kitsas ja mittekumulatiivne lähenemine) ja globaalsete eesmärkide (kumulatiivne, kuid liiga üldine lähenemine) hindamisele. Näiteks ei anna ühe üksikprojekti absoluutnumber eriti informatsiooni sellel võimaliku kumulatiivse mõju kohta, ilma et seda </w:t>
            </w:r>
            <w:r w:rsidR="00DA43FA" w:rsidRPr="4E2C0005">
              <w:rPr>
                <w:rFonts w:cs="Arial"/>
                <w:sz w:val="18"/>
                <w:szCs w:val="18"/>
                <w:lang w:val="et-EE"/>
              </w:rPr>
              <w:lastRenderedPageBreak/>
              <w:t>käsitletakse laiemas riiklikus ja riikide vaheliste kokkulepete kontekstis. Ka antud projekti puhul ei saa kindlalt väita, et see tooks kindlasti kaasa olulise kliimamõju, kuna täiesti võimalik on ka selline olukord, kus Eesti saavutab kliimaneutraalsuse ka kavandatava Enefit280-2 tehasega, kui suurendab näiteks LULUCF sektori sidumist või rakendab teisi täiendavaid meetmeid ja täi</w:t>
            </w:r>
            <w:r w:rsidRPr="4E2C0005">
              <w:rPr>
                <w:rFonts w:cs="Arial"/>
                <w:sz w:val="18"/>
                <w:szCs w:val="18"/>
                <w:lang w:val="et-EE"/>
              </w:rPr>
              <w:t>d</w:t>
            </w:r>
            <w:r w:rsidR="00DA43FA" w:rsidRPr="4E2C0005">
              <w:rPr>
                <w:rFonts w:cs="Arial"/>
                <w:sz w:val="18"/>
                <w:szCs w:val="18"/>
                <w:lang w:val="et-EE"/>
              </w:rPr>
              <w:t xml:space="preserve">ab seetõttu endale võetud rahvusvahelised kohustused. </w:t>
            </w:r>
          </w:p>
          <w:p w14:paraId="0B9145AE" w14:textId="624B679C" w:rsidR="00BA3553" w:rsidRDefault="00DA43FA" w:rsidP="00DA43FA">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4E2C0005">
              <w:rPr>
                <w:rFonts w:cs="Arial"/>
                <w:sz w:val="18"/>
                <w:szCs w:val="18"/>
                <w:lang w:val="et-EE"/>
              </w:rPr>
              <w:t xml:space="preserve">Viimane ning kõige põhjalikum analüüs Eesti kliimaneutraalsuse eesmärgi saavutamise võimalikkuse kohta on Stockholmi Keskkonnainstituudi Tallinna Keskus (SEI Tallinn) 2019. aasta uuring „Eesti kliimaambitsiooni tõstmise võimaluste analüüs“. Selle analüüsi põhjal tegi Vabariigi Valitsus 3. oktoobril otsuse toetada aastaks 2050 kliimaneutraalse majanduse saavutamist Euroopa Liidus. Uuringus on põlevkiviõli tehase kohta öeldud, et arvutusmudelis on üldjoontes kajastatud ka täiendava põlevkiviõlitehase ja </w:t>
            </w:r>
            <w:proofErr w:type="spellStart"/>
            <w:r w:rsidRPr="4E2C0005">
              <w:rPr>
                <w:rFonts w:cs="Arial"/>
                <w:sz w:val="18"/>
                <w:szCs w:val="18"/>
                <w:lang w:val="et-EE"/>
              </w:rPr>
              <w:t>eelrafineerimistehase</w:t>
            </w:r>
            <w:proofErr w:type="spellEnd"/>
            <w:r w:rsidRPr="4E2C0005">
              <w:rPr>
                <w:rFonts w:cs="Arial"/>
                <w:sz w:val="18"/>
                <w:szCs w:val="18"/>
                <w:lang w:val="et-EE"/>
              </w:rPr>
              <w:t xml:space="preserve"> rajamise majandusmõjud ja mõjud KHG heitele (+ 1 </w:t>
            </w:r>
            <w:proofErr w:type="spellStart"/>
            <w:r w:rsidRPr="4E2C0005">
              <w:rPr>
                <w:rFonts w:cs="Arial"/>
                <w:sz w:val="18"/>
                <w:szCs w:val="18"/>
                <w:lang w:val="et-EE"/>
              </w:rPr>
              <w:t>Mt</w:t>
            </w:r>
            <w:proofErr w:type="spellEnd"/>
            <w:r w:rsidRPr="4E2C0005">
              <w:rPr>
                <w:rFonts w:cs="Arial"/>
                <w:sz w:val="18"/>
                <w:szCs w:val="18"/>
                <w:lang w:val="et-EE"/>
              </w:rPr>
              <w:t xml:space="preserve"> KHG heidet), kuid samas on öeldud, et tehaste rajamine võiks olla võimalik juhul kui heite suurenemine kompenseeritakse kõrge süsiniku sidumisega LULUCF sektoris või CCU lahenduste edukal rakendamisel. Sellest võib järeldada, et Vabariigi </w:t>
            </w:r>
            <w:r w:rsidR="1C5BED36" w:rsidRPr="4E2C0005">
              <w:rPr>
                <w:rFonts w:cs="Arial"/>
                <w:sz w:val="18"/>
                <w:szCs w:val="18"/>
                <w:lang w:val="et-EE"/>
              </w:rPr>
              <w:t>V</w:t>
            </w:r>
            <w:r w:rsidRPr="4E2C0005">
              <w:rPr>
                <w:rFonts w:cs="Arial"/>
                <w:sz w:val="18"/>
                <w:szCs w:val="18"/>
                <w:lang w:val="et-EE"/>
              </w:rPr>
              <w:t>alitsus tegi otsuse toetada kliimaneutraalse majanduse eesmärki teadmise juures, et Eesti jaoks on võimalik kliimaneutraalsus ka uue põlevkiviõli tehase rajamisel. Siiski tundub, et SEI Tallinn uuringus toodud meetmeid ei ole seal ette nähtud mahus ellu viima hakatud ja seetõttu võib olla risk, et selles uuringus toodud viisil ei ole võimalik kliimaneutraalsust saavutada ja sellisel juhul oleks Enefit280-2 rajamine täiendav risk. Teisalt saab adekvaatselt seda riski hinnata ikkagi ainult riik ise strateegiliste arengudokumentide raamistikus, sh ENMAK 2035 koostamisel</w:t>
            </w:r>
            <w:r w:rsidR="000677D5">
              <w:rPr>
                <w:rFonts w:cs="Arial"/>
                <w:sz w:val="18"/>
                <w:szCs w:val="18"/>
                <w:lang w:val="et-EE"/>
              </w:rPr>
              <w:t>,</w:t>
            </w:r>
            <w:r w:rsidRPr="4E2C0005">
              <w:rPr>
                <w:rFonts w:cs="Arial"/>
                <w:sz w:val="18"/>
                <w:szCs w:val="18"/>
                <w:lang w:val="et-EE"/>
              </w:rPr>
              <w:t xml:space="preserve"> ja mitte KMH töörühm.</w:t>
            </w:r>
            <w:r w:rsidR="000677D5">
              <w:rPr>
                <w:rFonts w:cs="Arial"/>
                <w:sz w:val="18"/>
                <w:szCs w:val="18"/>
                <w:lang w:val="et-EE"/>
              </w:rPr>
              <w:t xml:space="preserve"> </w:t>
            </w:r>
            <w:r w:rsidRPr="00FD5087">
              <w:rPr>
                <w:rFonts w:cs="Arial"/>
                <w:sz w:val="18"/>
                <w:szCs w:val="18"/>
                <w:lang w:val="et-EE"/>
              </w:rPr>
              <w:t>Hinnang selle kohta, kas praegused Eesti eesmärgid ja võetud kohustused on piisavad, et kliimamõjude negatiivseid mõjusid piisavalt ära hoida, ei ole käesoleva KMH ülesanne.</w:t>
            </w:r>
          </w:p>
          <w:p w14:paraId="0903CE3F" w14:textId="4447EA6E" w:rsidR="000677D5" w:rsidRPr="000677D5" w:rsidRDefault="000677D5" w:rsidP="00DA43FA">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0677D5">
              <w:rPr>
                <w:rFonts w:cs="Arial"/>
                <w:sz w:val="18"/>
                <w:szCs w:val="18"/>
                <w:lang w:val="et-EE"/>
              </w:rPr>
              <w:t xml:space="preserve">Kliimamõjude hindamisel on hinnatud ka kaudseid mõjusid, mis tähendab seda, et analüüsitud on lisaks tehase kompleksloaga seotud HKS heitele ka tehasele </w:t>
            </w:r>
            <w:r w:rsidRPr="000677D5">
              <w:rPr>
                <w:rFonts w:cs="Arial"/>
                <w:sz w:val="18"/>
                <w:szCs w:val="18"/>
                <w:lang w:val="et-EE"/>
              </w:rPr>
              <w:lastRenderedPageBreak/>
              <w:t>eelnevat ja järgnevat heidet. See tähendab seda, et ainult Enefit280-2 kompleksloaga reguleeritud tegevuse KHG heide võrdub KHG raporteerimise loogika kohaselt HKS heitega, kuid tegelikult kaasneb tegevusega veel täiendav heide väljaspool käitist. Kõik need täiendavad heite allikad on aruandes kaudsete mõjudena arvesse võetud ning toodud joonisel 4.1 ja tabelites 4.2, 4.3 ja 4.4.</w:t>
            </w:r>
          </w:p>
          <w:p w14:paraId="1D81939E" w14:textId="0D4D6D13" w:rsidR="00C563C4" w:rsidRPr="00FD5087" w:rsidRDefault="000677D5" w:rsidP="00C563C4">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(3.1b). KMH aruandes </w:t>
            </w:r>
            <w:r w:rsidR="00841E11">
              <w:rPr>
                <w:rFonts w:cs="Arial"/>
                <w:sz w:val="18"/>
                <w:szCs w:val="18"/>
                <w:lang w:val="et-EE"/>
              </w:rPr>
              <w:t xml:space="preserve">on viidatud </w:t>
            </w:r>
            <w:r>
              <w:rPr>
                <w:rFonts w:cs="Arial"/>
                <w:sz w:val="18"/>
                <w:szCs w:val="18"/>
                <w:lang w:val="et-EE"/>
              </w:rPr>
              <w:t>l</w:t>
            </w:r>
            <w:r w:rsidR="00841E11">
              <w:rPr>
                <w:rFonts w:cs="Arial"/>
                <w:sz w:val="18"/>
                <w:szCs w:val="18"/>
                <w:lang w:val="et-EE"/>
              </w:rPr>
              <w:t>eheküljel</w:t>
            </w:r>
            <w:r>
              <w:rPr>
                <w:rFonts w:cs="Arial"/>
                <w:sz w:val="18"/>
                <w:szCs w:val="18"/>
                <w:lang w:val="et-EE"/>
              </w:rPr>
              <w:t xml:space="preserve"> 23 järgmine lõik: „</w:t>
            </w:r>
            <w:r w:rsidRPr="000677D5">
              <w:rPr>
                <w:rFonts w:cs="Arial"/>
                <w:sz w:val="18"/>
                <w:szCs w:val="18"/>
                <w:lang w:val="et-EE"/>
              </w:rPr>
              <w:t>Arvutusmudeli põhjal selgub kavandava tegevusega seonduv KHG täiendav aastane absoluutkogus hällist väravani (</w:t>
            </w:r>
            <w:proofErr w:type="spellStart"/>
            <w:r w:rsidRPr="000677D5">
              <w:rPr>
                <w:rFonts w:cs="Arial"/>
                <w:sz w:val="18"/>
                <w:szCs w:val="18"/>
                <w:lang w:val="et-EE"/>
              </w:rPr>
              <w:t>cradle-to-gate</w:t>
            </w:r>
            <w:proofErr w:type="spellEnd"/>
            <w:r w:rsidRPr="000677D5">
              <w:rPr>
                <w:rFonts w:cs="Arial"/>
                <w:sz w:val="18"/>
                <w:szCs w:val="18"/>
                <w:lang w:val="et-EE"/>
              </w:rPr>
              <w:t>), millest omakorda on võimalik eristada see KHG hulk, mis läheb Eesti riiklike kliimaeesmärkide arvestusse. Väravana käsitletakse antud juhul Sillamäe ja Muuga sadamaid, mille kaudu toimub toodetud põlevkiviõli turustamine. Joonisel 4.1 on toodud kavandatava Enefit280-2 seotud kasutusaegsed olulisemad KHG heidetega seotud aine- ja energiavood. Värvidega on eristatud heited, mis kajastuvad Eesti riiklikus KHG statistikas ning mõjutavad seeläbi riiklike kliimaeesmärkide saavutamist ning heited, mis sellest statistikast välja jäävad, kuid mis peaksid ideaalis olema kajastatud mõne teise riigi statistikas või siis arvestatud rahvusvaheliselt jagatud vastutuse raames (nt laevakütuste puhul IMO)</w:t>
            </w:r>
            <w:r>
              <w:rPr>
                <w:rFonts w:cs="Arial"/>
                <w:sz w:val="18"/>
                <w:szCs w:val="18"/>
                <w:lang w:val="et-EE"/>
              </w:rPr>
              <w:t>.“ Siin ei ole väidetud, et põlevkivi kasutamisega seotud heide ei ole Eesti KHG statistikas kajastatud</w:t>
            </w:r>
            <w:r w:rsidR="00F56AAC">
              <w:rPr>
                <w:rFonts w:cs="Arial"/>
                <w:sz w:val="18"/>
                <w:szCs w:val="18"/>
                <w:lang w:val="et-EE"/>
              </w:rPr>
              <w:t>,</w:t>
            </w:r>
            <w:r>
              <w:rPr>
                <w:rFonts w:cs="Arial"/>
                <w:sz w:val="18"/>
                <w:szCs w:val="18"/>
                <w:lang w:val="et-EE"/>
              </w:rPr>
              <w:t xml:space="preserve"> vaid seda ei ole loetud Eesti oluliste KHG heidete hulka. Põlevkiviõli kasutusmaht kütusena on Eestis vähene ja </w:t>
            </w:r>
            <w:r w:rsidRPr="000677D5">
              <w:rPr>
                <w:rFonts w:cs="Arial"/>
                <w:sz w:val="18"/>
                <w:szCs w:val="18"/>
                <w:lang w:val="et-EE"/>
              </w:rPr>
              <w:t xml:space="preserve">ENMAK 2035 </w:t>
            </w:r>
            <w:r>
              <w:rPr>
                <w:rFonts w:cs="Arial"/>
                <w:sz w:val="18"/>
                <w:szCs w:val="18"/>
                <w:lang w:val="et-EE"/>
              </w:rPr>
              <w:t>eesmärke silmas pidades lõ</w:t>
            </w:r>
            <w:r w:rsidR="00F56AAC">
              <w:rPr>
                <w:rFonts w:cs="Arial"/>
                <w:sz w:val="18"/>
                <w:szCs w:val="18"/>
                <w:lang w:val="et-EE"/>
              </w:rPr>
              <w:t>p</w:t>
            </w:r>
            <w:r>
              <w:rPr>
                <w:rFonts w:cs="Arial"/>
                <w:sz w:val="18"/>
                <w:szCs w:val="18"/>
                <w:lang w:val="et-EE"/>
              </w:rPr>
              <w:t xml:space="preserve">eb peatselt. </w:t>
            </w:r>
            <w:r w:rsidR="00C563C4" w:rsidRPr="00FD5087">
              <w:rPr>
                <w:rFonts w:cs="Arial"/>
                <w:sz w:val="18"/>
                <w:szCs w:val="18"/>
                <w:lang w:val="et-EE"/>
              </w:rPr>
              <w:t xml:space="preserve">Isegi kui mingi osa Enefit280-2 </w:t>
            </w:r>
            <w:r>
              <w:rPr>
                <w:rFonts w:cs="Arial"/>
                <w:sz w:val="18"/>
                <w:szCs w:val="18"/>
                <w:lang w:val="et-EE"/>
              </w:rPr>
              <w:t xml:space="preserve">toodetud </w:t>
            </w:r>
            <w:r w:rsidR="00C563C4" w:rsidRPr="00FD5087">
              <w:rPr>
                <w:rFonts w:cs="Arial"/>
                <w:sz w:val="18"/>
                <w:szCs w:val="18"/>
                <w:lang w:val="et-EE"/>
              </w:rPr>
              <w:t>põlevkiviõli Eestis põletataks</w:t>
            </w:r>
            <w:r>
              <w:rPr>
                <w:rFonts w:cs="Arial"/>
                <w:sz w:val="18"/>
                <w:szCs w:val="18"/>
                <w:lang w:val="et-EE"/>
              </w:rPr>
              <w:t>,</w:t>
            </w:r>
            <w:r w:rsidR="00C563C4" w:rsidRPr="00FD5087">
              <w:rPr>
                <w:rFonts w:cs="Arial"/>
                <w:sz w:val="18"/>
                <w:szCs w:val="18"/>
                <w:lang w:val="et-EE"/>
              </w:rPr>
              <w:t xml:space="preserve"> ei muuda see olemasolevat olukorda, kuna praegune tootmine on oluliselt suurem, kui Eesti tarbimine ning tehase rajamine olemasolevat olukorda ei muuda.</w:t>
            </w:r>
          </w:p>
          <w:p w14:paraId="399D9AB3" w14:textId="01A6347C" w:rsidR="00EA1DDC" w:rsidRDefault="000677D5" w:rsidP="4E6715D6">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Siseriiklikus statistikas ei arvestada põlevkiviõli kasutamist teistes riikides, sh </w:t>
            </w:r>
            <w:r w:rsidRPr="000677D5">
              <w:rPr>
                <w:rFonts w:cs="Arial"/>
                <w:sz w:val="18"/>
                <w:szCs w:val="18"/>
                <w:lang w:val="et-EE"/>
              </w:rPr>
              <w:t>laevakütuse</w:t>
            </w:r>
            <w:r>
              <w:rPr>
                <w:rFonts w:cs="Arial"/>
                <w:sz w:val="18"/>
                <w:szCs w:val="18"/>
                <w:lang w:val="et-EE"/>
              </w:rPr>
              <w:t>na, mis on toodetud põlevkiviõli praegune peamine kasutusvaldkond. Kuna KMH käigus hinnatakse mõju riigi võetud eesmärkide täitmisele, siis on sellega arvestatud ka hindamismetoodikas. V</w:t>
            </w:r>
            <w:r w:rsidRPr="000677D5">
              <w:rPr>
                <w:rFonts w:cs="Arial"/>
                <w:sz w:val="18"/>
                <w:szCs w:val="18"/>
                <w:lang w:val="et-EE"/>
              </w:rPr>
              <w:t>astavushinnangu andmisel tuleb omavahel võrrelda samadel alustel koostatud riiklikku eesmärki ja kavandatava tegevuse heidet</w:t>
            </w:r>
            <w:r>
              <w:rPr>
                <w:rFonts w:cs="Arial"/>
                <w:sz w:val="18"/>
                <w:szCs w:val="18"/>
                <w:lang w:val="et-EE"/>
              </w:rPr>
              <w:t>.</w:t>
            </w:r>
          </w:p>
          <w:p w14:paraId="58F30612" w14:textId="76E2E8C1" w:rsidR="000677D5" w:rsidRPr="00841E11" w:rsidRDefault="000677D5" w:rsidP="4E6715D6">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F56AAC">
              <w:rPr>
                <w:sz w:val="18"/>
                <w:szCs w:val="18"/>
                <w:lang w:val="et-EE"/>
              </w:rPr>
              <w:t>KMH aruannet ettepaneku 3.1 alusel ei täiendata.</w:t>
            </w:r>
          </w:p>
        </w:tc>
      </w:tr>
      <w:tr w:rsidR="00E16F5F" w:rsidRPr="00FD5087" w14:paraId="4B330D74"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3D566CC0" w14:textId="77777777" w:rsidR="00E16F5F" w:rsidRPr="00FD5087" w:rsidRDefault="004260FE" w:rsidP="00F134E0">
            <w:pPr>
              <w:spacing w:beforeLines="60" w:before="144"/>
              <w:rPr>
                <w:rFonts w:cs="Arial"/>
                <w:b/>
                <w:bCs w:val="0"/>
                <w:sz w:val="18"/>
                <w:szCs w:val="18"/>
                <w:lang w:val="et-EE"/>
              </w:rPr>
            </w:pPr>
            <w:r w:rsidRPr="00FD5087">
              <w:rPr>
                <w:rFonts w:cs="Arial"/>
                <w:b/>
                <w:bCs w:val="0"/>
                <w:sz w:val="18"/>
                <w:szCs w:val="18"/>
                <w:lang w:val="et-EE"/>
              </w:rPr>
              <w:lastRenderedPageBreak/>
              <w:t>3.2 Kliimamõju olulisuse hindamine</w:t>
            </w:r>
          </w:p>
          <w:p w14:paraId="03A7A449" w14:textId="77777777" w:rsidR="004260FE" w:rsidRPr="00FD5087" w:rsidRDefault="004260FE" w:rsidP="004260FE">
            <w:pPr>
              <w:spacing w:beforeLines="60" w:before="144"/>
              <w:rPr>
                <w:rFonts w:cs="Arial"/>
                <w:bCs w:val="0"/>
                <w:sz w:val="18"/>
                <w:szCs w:val="18"/>
                <w:lang w:val="et-EE"/>
              </w:rPr>
            </w:pPr>
            <w:r w:rsidRPr="00FD5087">
              <w:rPr>
                <w:rFonts w:cs="Arial"/>
                <w:sz w:val="18"/>
                <w:szCs w:val="18"/>
                <w:lang w:val="et-EE"/>
              </w:rPr>
              <w:t>KMH aruandes on öeldud, et “kavandatava Enefit280-2 tehase kasutusperioodil tekib oluline</w:t>
            </w:r>
            <w:r w:rsidRPr="00FD5087">
              <w:rPr>
                <w:rFonts w:cs="Arial"/>
                <w:bCs w:val="0"/>
                <w:sz w:val="18"/>
                <w:szCs w:val="18"/>
                <w:lang w:val="et-EE"/>
              </w:rPr>
              <w:t xml:space="preserve"> </w:t>
            </w:r>
            <w:r w:rsidRPr="00FD5087">
              <w:rPr>
                <w:rFonts w:cs="Arial"/>
                <w:sz w:val="18"/>
                <w:szCs w:val="18"/>
                <w:lang w:val="et-EE"/>
              </w:rPr>
              <w:t>hulk KHG emissioone (nii maksimaalse kui ka realistliku stsenaariumi korral), kuid käesoleval</w:t>
            </w:r>
            <w:r w:rsidRPr="00FD5087">
              <w:rPr>
                <w:rFonts w:cs="Arial"/>
                <w:bCs w:val="0"/>
                <w:sz w:val="18"/>
                <w:szCs w:val="18"/>
                <w:lang w:val="et-EE"/>
              </w:rPr>
              <w:t xml:space="preserve"> </w:t>
            </w:r>
            <w:r w:rsidRPr="00FD5087">
              <w:rPr>
                <w:rFonts w:cs="Arial"/>
                <w:sz w:val="18"/>
                <w:szCs w:val="18"/>
                <w:lang w:val="et-EE"/>
              </w:rPr>
              <w:t>hetkel ei ole ühtegi konkreetset asjaolu, mis välistaks sellise tehase rajamist kliimamõjude ja</w:t>
            </w:r>
            <w:r w:rsidRPr="00FD5087">
              <w:rPr>
                <w:rFonts w:cs="Arial"/>
                <w:bCs w:val="0"/>
                <w:sz w:val="18"/>
                <w:szCs w:val="18"/>
                <w:lang w:val="et-EE"/>
              </w:rPr>
              <w:t xml:space="preserve"> </w:t>
            </w:r>
            <w:r w:rsidRPr="00FD5087">
              <w:rPr>
                <w:rFonts w:cs="Arial"/>
                <w:sz w:val="18"/>
                <w:szCs w:val="18"/>
                <w:lang w:val="et-EE"/>
              </w:rPr>
              <w:t>nende leevendamise eesmärgil rahvusvaheliselt või siseriiklikult seatud tegevuskavadest või</w:t>
            </w:r>
            <w:r w:rsidRPr="00FD5087">
              <w:rPr>
                <w:rFonts w:cs="Arial"/>
                <w:bCs w:val="0"/>
                <w:sz w:val="18"/>
                <w:szCs w:val="18"/>
                <w:lang w:val="et-EE"/>
              </w:rPr>
              <w:t xml:space="preserve"> </w:t>
            </w:r>
            <w:r w:rsidRPr="00FD5087">
              <w:rPr>
                <w:rFonts w:cs="Arial"/>
                <w:sz w:val="18"/>
                <w:szCs w:val="18"/>
                <w:lang w:val="et-EE"/>
              </w:rPr>
              <w:t xml:space="preserve">piirmääradest tulenevalt” (lk 36). Samas ei ole aruandes pööratud üldse tähelepanu </w:t>
            </w:r>
            <w:proofErr w:type="spellStart"/>
            <w:r w:rsidRPr="00FD5087">
              <w:rPr>
                <w:rFonts w:cs="Arial"/>
                <w:sz w:val="18"/>
                <w:szCs w:val="18"/>
                <w:lang w:val="et-EE"/>
              </w:rPr>
              <w:t>KeÜS</w:t>
            </w:r>
            <w:proofErr w:type="spellEnd"/>
            <w:r w:rsidRPr="00FD5087">
              <w:rPr>
                <w:rFonts w:cs="Arial"/>
                <w:sz w:val="18"/>
                <w:szCs w:val="18"/>
                <w:lang w:val="et-EE"/>
              </w:rPr>
              <w:t xml:space="preserve"> §-dele 3, 5 ja 10. Nimelt on </w:t>
            </w:r>
            <w:proofErr w:type="spellStart"/>
            <w:r w:rsidRPr="00FD5087">
              <w:rPr>
                <w:rFonts w:cs="Arial"/>
                <w:b/>
                <w:bCs w:val="0"/>
                <w:sz w:val="18"/>
                <w:szCs w:val="18"/>
                <w:lang w:val="et-EE"/>
              </w:rPr>
              <w:t>KeÜS</w:t>
            </w:r>
            <w:proofErr w:type="spellEnd"/>
            <w:r w:rsidRPr="00FD5087">
              <w:rPr>
                <w:rFonts w:cs="Arial"/>
                <w:b/>
                <w:bCs w:val="0"/>
                <w:sz w:val="18"/>
                <w:szCs w:val="18"/>
                <w:lang w:val="et-EE"/>
              </w:rPr>
              <w:t xml:space="preserve"> § 3 lg 1</w:t>
            </w:r>
            <w:r w:rsidRPr="00FD5087">
              <w:rPr>
                <w:rFonts w:cs="Arial"/>
                <w:sz w:val="18"/>
                <w:szCs w:val="18"/>
                <w:lang w:val="et-EE"/>
              </w:rPr>
              <w:t xml:space="preserve"> kohaselt keskkonnahäiring </w:t>
            </w:r>
            <w:r w:rsidRPr="00FD5087">
              <w:rPr>
                <w:rFonts w:cs="Arial"/>
                <w:bCs w:val="0"/>
                <w:sz w:val="18"/>
                <w:szCs w:val="18"/>
                <w:lang w:val="et-EE"/>
              </w:rPr>
              <w:t>i</w:t>
            </w:r>
            <w:r w:rsidRPr="00FD5087">
              <w:rPr>
                <w:rFonts w:cs="Arial"/>
                <w:sz w:val="18"/>
                <w:szCs w:val="18"/>
                <w:lang w:val="et-EE"/>
              </w:rPr>
              <w:t>nimtegevusega kaasnev</w:t>
            </w:r>
            <w:r w:rsidRPr="00FD5087">
              <w:rPr>
                <w:rFonts w:cs="Arial"/>
                <w:bCs w:val="0"/>
                <w:sz w:val="18"/>
                <w:szCs w:val="18"/>
                <w:lang w:val="et-EE"/>
              </w:rPr>
              <w:t xml:space="preserve"> </w:t>
            </w:r>
            <w:r w:rsidRPr="00FD5087">
              <w:rPr>
                <w:rFonts w:cs="Arial"/>
                <w:sz w:val="18"/>
                <w:szCs w:val="18"/>
                <w:lang w:val="et-EE"/>
              </w:rPr>
              <w:t>ebasoodne mõju keskkonnale, mida kasvuhoonegaaside paiskamine atmosfääri kahtlemata</w:t>
            </w:r>
            <w:r w:rsidRPr="00FD5087">
              <w:rPr>
                <w:rFonts w:cs="Arial"/>
                <w:bCs w:val="0"/>
                <w:sz w:val="18"/>
                <w:szCs w:val="18"/>
                <w:lang w:val="et-EE"/>
              </w:rPr>
              <w:t xml:space="preserve"> </w:t>
            </w:r>
            <w:r w:rsidRPr="00FD5087">
              <w:rPr>
                <w:rFonts w:cs="Arial"/>
                <w:sz w:val="18"/>
                <w:szCs w:val="18"/>
                <w:lang w:val="et-EE"/>
              </w:rPr>
              <w:t>on. Keskkonnahäiring võib olla ka selline ebasoodne mõju keskkonnale, millele ei ole seatud</w:t>
            </w:r>
            <w:r w:rsidRPr="00FD5087">
              <w:rPr>
                <w:rFonts w:cs="Arial"/>
                <w:bCs w:val="0"/>
                <w:sz w:val="18"/>
                <w:szCs w:val="18"/>
                <w:lang w:val="et-EE"/>
              </w:rPr>
              <w:t xml:space="preserve"> </w:t>
            </w:r>
            <w:r w:rsidRPr="00FD5087">
              <w:rPr>
                <w:rFonts w:cs="Arial"/>
                <w:sz w:val="18"/>
                <w:szCs w:val="18"/>
                <w:lang w:val="et-EE"/>
              </w:rPr>
              <w:t xml:space="preserve">arvulist normi. Sel juhul tuleb hinnata mõju olulisust iga juhtumi puhul eraldi. </w:t>
            </w:r>
            <w:proofErr w:type="spellStart"/>
            <w:r w:rsidRPr="00FD5087">
              <w:rPr>
                <w:rFonts w:cs="Arial"/>
                <w:b/>
                <w:bCs w:val="0"/>
                <w:sz w:val="18"/>
                <w:szCs w:val="18"/>
                <w:lang w:val="et-EE"/>
              </w:rPr>
              <w:t>KeÜS</w:t>
            </w:r>
            <w:proofErr w:type="spellEnd"/>
            <w:r w:rsidRPr="00FD5087">
              <w:rPr>
                <w:rFonts w:cs="Arial"/>
                <w:b/>
                <w:bCs w:val="0"/>
                <w:sz w:val="18"/>
                <w:szCs w:val="18"/>
                <w:lang w:val="et-EE"/>
              </w:rPr>
              <w:t xml:space="preserve"> § 3 lg 2 p 4</w:t>
            </w:r>
            <w:r w:rsidRPr="00FD5087">
              <w:rPr>
                <w:rFonts w:cs="Arial"/>
                <w:sz w:val="18"/>
                <w:szCs w:val="18"/>
                <w:lang w:val="et-EE"/>
              </w:rPr>
              <w:t xml:space="preserve"> kohaselt eeldatakse olulise keskkonnahäiringu tekkimist olulise keskkonnamõju</w:t>
            </w:r>
            <w:r w:rsidRPr="00FD5087">
              <w:rPr>
                <w:rFonts w:cs="Arial"/>
                <w:bCs w:val="0"/>
                <w:sz w:val="18"/>
                <w:szCs w:val="18"/>
                <w:lang w:val="et-EE"/>
              </w:rPr>
              <w:t xml:space="preserve"> </w:t>
            </w:r>
            <w:r w:rsidRPr="00FD5087">
              <w:rPr>
                <w:rFonts w:cs="Arial"/>
                <w:sz w:val="18"/>
                <w:szCs w:val="18"/>
                <w:lang w:val="et-EE"/>
              </w:rPr>
              <w:t xml:space="preserve">põhjustamisel. </w:t>
            </w:r>
            <w:proofErr w:type="spellStart"/>
            <w:r w:rsidRPr="00FD5087">
              <w:rPr>
                <w:rFonts w:cs="Arial"/>
                <w:b/>
                <w:bCs w:val="0"/>
                <w:sz w:val="18"/>
                <w:szCs w:val="18"/>
                <w:lang w:val="et-EE"/>
              </w:rPr>
              <w:t>KeÜS</w:t>
            </w:r>
            <w:proofErr w:type="spellEnd"/>
            <w:r w:rsidRPr="00FD5087">
              <w:rPr>
                <w:rFonts w:cs="Arial"/>
                <w:b/>
                <w:bCs w:val="0"/>
                <w:sz w:val="18"/>
                <w:szCs w:val="18"/>
                <w:lang w:val="et-EE"/>
              </w:rPr>
              <w:t xml:space="preserve"> § 5</w:t>
            </w:r>
            <w:r w:rsidRPr="00FD5087">
              <w:rPr>
                <w:rFonts w:cs="Arial"/>
                <w:sz w:val="18"/>
                <w:szCs w:val="18"/>
                <w:lang w:val="et-EE"/>
              </w:rPr>
              <w:t xml:space="preserve"> järgi on keskkonnaoht olulise keskkonnahäiringu tekkimise piisav</w:t>
            </w:r>
            <w:r w:rsidRPr="00FD5087">
              <w:rPr>
                <w:rFonts w:cs="Arial"/>
                <w:bCs w:val="0"/>
                <w:sz w:val="18"/>
                <w:szCs w:val="18"/>
                <w:lang w:val="et-EE"/>
              </w:rPr>
              <w:t xml:space="preserve"> </w:t>
            </w:r>
            <w:r w:rsidRPr="00FD5087">
              <w:rPr>
                <w:rFonts w:cs="Arial"/>
                <w:sz w:val="18"/>
                <w:szCs w:val="18"/>
                <w:lang w:val="et-EE"/>
              </w:rPr>
              <w:t xml:space="preserve">tõenäosus ning </w:t>
            </w:r>
            <w:r w:rsidRPr="00FD5087">
              <w:rPr>
                <w:rFonts w:cs="Arial"/>
                <w:b/>
                <w:bCs w:val="0"/>
                <w:sz w:val="18"/>
                <w:szCs w:val="18"/>
                <w:lang w:val="et-EE"/>
              </w:rPr>
              <w:t>§ 10</w:t>
            </w:r>
            <w:r w:rsidRPr="00FD5087">
              <w:rPr>
                <w:rFonts w:cs="Arial"/>
                <w:sz w:val="18"/>
                <w:szCs w:val="18"/>
                <w:lang w:val="et-EE"/>
              </w:rPr>
              <w:t xml:space="preserve"> järgi tuleb keskkonnaohtu vältida.</w:t>
            </w:r>
          </w:p>
          <w:p w14:paraId="5A33E5AC" w14:textId="5F2A77DB" w:rsidR="00F37D14" w:rsidRPr="00FD5087" w:rsidRDefault="00F37D14" w:rsidP="00F37D14">
            <w:pPr>
              <w:spacing w:beforeLines="60" w:before="144"/>
              <w:rPr>
                <w:rFonts w:cs="Arial"/>
                <w:bCs w:val="0"/>
                <w:sz w:val="18"/>
                <w:szCs w:val="18"/>
                <w:lang w:val="et-EE"/>
              </w:rPr>
            </w:pPr>
            <w:r w:rsidRPr="00FD5087">
              <w:rPr>
                <w:rFonts w:cs="Arial"/>
                <w:sz w:val="18"/>
                <w:szCs w:val="18"/>
                <w:lang w:val="et-EE"/>
              </w:rPr>
              <w:t>KMH aruande kohaselt tekib õlitehase kasutusperioodil “</w:t>
            </w:r>
            <w:r w:rsidRPr="00FD5087">
              <w:rPr>
                <w:rFonts w:cs="Arial"/>
                <w:sz w:val="18"/>
                <w:szCs w:val="18"/>
                <w:u w:val="single"/>
                <w:lang w:val="et-EE"/>
              </w:rPr>
              <w:t>oluline hulk</w:t>
            </w:r>
            <w:r w:rsidRPr="00FD5087">
              <w:rPr>
                <w:rFonts w:cs="Arial"/>
                <w:sz w:val="18"/>
                <w:szCs w:val="18"/>
                <w:lang w:val="et-EE"/>
              </w:rPr>
              <w:t xml:space="preserve"> KHG emissioone” (lk 36)</w:t>
            </w:r>
            <w:r w:rsidRPr="00FD5087">
              <w:rPr>
                <w:rFonts w:cs="Arial"/>
                <w:bCs w:val="0"/>
                <w:sz w:val="18"/>
                <w:szCs w:val="18"/>
                <w:lang w:val="et-EE"/>
              </w:rPr>
              <w:t xml:space="preserve"> </w:t>
            </w:r>
            <w:r w:rsidRPr="00FD5087">
              <w:rPr>
                <w:rFonts w:cs="Arial"/>
                <w:sz w:val="18"/>
                <w:szCs w:val="18"/>
                <w:lang w:val="et-EE"/>
              </w:rPr>
              <w:t>ehk kaasneb kindlasti oluline keskkonnahäiring. KMH aruandes esitatud hinnangut toetavad</w:t>
            </w:r>
            <w:r w:rsidRPr="00FD5087">
              <w:rPr>
                <w:rFonts w:cs="Arial"/>
                <w:bCs w:val="0"/>
                <w:sz w:val="18"/>
                <w:szCs w:val="18"/>
                <w:lang w:val="et-EE"/>
              </w:rPr>
              <w:t xml:space="preserve"> </w:t>
            </w:r>
            <w:r w:rsidRPr="00FD5087">
              <w:rPr>
                <w:rFonts w:cs="Arial"/>
                <w:sz w:val="18"/>
                <w:szCs w:val="18"/>
                <w:lang w:val="et-EE"/>
              </w:rPr>
              <w:t>ka Euroopa Komisjon ning Euroopa Investeerimispank, mis peavad olulise KHG heite</w:t>
            </w:r>
            <w:r w:rsidRPr="00FD5087">
              <w:rPr>
                <w:rFonts w:cs="Arial"/>
                <w:bCs w:val="0"/>
                <w:sz w:val="18"/>
                <w:szCs w:val="18"/>
                <w:lang w:val="et-EE"/>
              </w:rPr>
              <w:t xml:space="preserve"> </w:t>
            </w:r>
            <w:r w:rsidRPr="00FD5087">
              <w:rPr>
                <w:rFonts w:cs="Arial"/>
                <w:b/>
                <w:bCs w:val="0"/>
                <w:sz w:val="18"/>
                <w:szCs w:val="18"/>
                <w:lang w:val="et-EE"/>
              </w:rPr>
              <w:t>künniseks 20 000 t aastas</w:t>
            </w:r>
            <w:r w:rsidR="001C5847" w:rsidRPr="00FD5087">
              <w:rPr>
                <w:rStyle w:val="FootnoteReference"/>
                <w:rFonts w:cs="Arial"/>
                <w:b/>
                <w:bCs w:val="0"/>
                <w:sz w:val="18"/>
                <w:szCs w:val="18"/>
                <w:lang w:val="et-EE"/>
              </w:rPr>
              <w:footnoteReference w:id="14"/>
            </w:r>
            <w:r w:rsidRPr="00FD5087">
              <w:rPr>
                <w:rFonts w:cs="Arial"/>
                <w:sz w:val="18"/>
                <w:szCs w:val="18"/>
                <w:lang w:val="et-EE"/>
              </w:rPr>
              <w:t>,13 mida õlitehas ületab KMH aruande kohaselt vähemalt 40-kordselt</w:t>
            </w:r>
            <w:r w:rsidRPr="00FD5087">
              <w:rPr>
                <w:rFonts w:cs="Arial"/>
                <w:bCs w:val="0"/>
                <w:sz w:val="18"/>
                <w:szCs w:val="18"/>
                <w:lang w:val="et-EE"/>
              </w:rPr>
              <w:t xml:space="preserve"> </w:t>
            </w:r>
            <w:r w:rsidRPr="00FD5087">
              <w:rPr>
                <w:rFonts w:cs="Arial"/>
                <w:sz w:val="18"/>
                <w:szCs w:val="18"/>
                <w:lang w:val="et-EE"/>
              </w:rPr>
              <w:t xml:space="preserve">(lk 35) ning koos õli põletamise heitega vähemalt 90-kordselt. </w:t>
            </w:r>
            <w:r w:rsidRPr="00FD5087">
              <w:rPr>
                <w:rFonts w:cs="Arial"/>
                <w:bCs w:val="0"/>
                <w:sz w:val="18"/>
                <w:szCs w:val="18"/>
                <w:lang w:val="et-EE"/>
              </w:rPr>
              <w:t xml:space="preserve"> R</w:t>
            </w:r>
            <w:r w:rsidRPr="00FD5087">
              <w:rPr>
                <w:rFonts w:cs="Arial"/>
                <w:sz w:val="18"/>
                <w:szCs w:val="18"/>
                <w:lang w:val="et-EE"/>
              </w:rPr>
              <w:t>ahvusvahelise</w:t>
            </w:r>
            <w:r w:rsidRPr="00FD5087">
              <w:rPr>
                <w:rFonts w:cs="Arial"/>
                <w:bCs w:val="0"/>
                <w:sz w:val="18"/>
                <w:szCs w:val="18"/>
                <w:lang w:val="et-EE"/>
              </w:rPr>
              <w:t xml:space="preserve"> </w:t>
            </w:r>
            <w:r w:rsidRPr="00FD5087">
              <w:rPr>
                <w:rFonts w:cs="Arial"/>
                <w:sz w:val="18"/>
                <w:szCs w:val="18"/>
                <w:lang w:val="et-EE"/>
              </w:rPr>
              <w:t xml:space="preserve">kutseorganisatsiooni </w:t>
            </w:r>
            <w:proofErr w:type="spellStart"/>
            <w:r w:rsidRPr="00FD5087">
              <w:rPr>
                <w:rFonts w:cs="Arial"/>
                <w:i/>
                <w:iCs/>
                <w:sz w:val="18"/>
                <w:szCs w:val="18"/>
                <w:lang w:val="et-EE"/>
              </w:rPr>
              <w:t>Institute</w:t>
            </w:r>
            <w:proofErr w:type="spellEnd"/>
            <w:r w:rsidRPr="00FD5087">
              <w:rPr>
                <w:rFonts w:cs="Arial"/>
                <w:i/>
                <w:iCs/>
                <w:sz w:val="18"/>
                <w:szCs w:val="18"/>
                <w:lang w:val="et-EE"/>
              </w:rPr>
              <w:t xml:space="preserve"> of </w:t>
            </w:r>
            <w:proofErr w:type="spellStart"/>
            <w:r w:rsidRPr="00FD5087">
              <w:rPr>
                <w:rFonts w:cs="Arial"/>
                <w:i/>
                <w:iCs/>
                <w:sz w:val="18"/>
                <w:szCs w:val="18"/>
                <w:lang w:val="et-EE"/>
              </w:rPr>
              <w:t>Environmental</w:t>
            </w:r>
            <w:proofErr w:type="spellEnd"/>
            <w:r w:rsidRPr="00FD5087">
              <w:rPr>
                <w:rFonts w:cs="Arial"/>
                <w:i/>
                <w:iCs/>
                <w:sz w:val="18"/>
                <w:szCs w:val="18"/>
                <w:lang w:val="et-EE"/>
              </w:rPr>
              <w:t xml:space="preserve"> Management and </w:t>
            </w:r>
            <w:proofErr w:type="spellStart"/>
            <w:r w:rsidRPr="00FD5087">
              <w:rPr>
                <w:rFonts w:cs="Arial"/>
                <w:i/>
                <w:iCs/>
                <w:sz w:val="18"/>
                <w:szCs w:val="18"/>
                <w:lang w:val="et-EE"/>
              </w:rPr>
              <w:t>Assessment</w:t>
            </w:r>
            <w:proofErr w:type="spellEnd"/>
            <w:r w:rsidRPr="00FD5087">
              <w:rPr>
                <w:rFonts w:cs="Arial"/>
                <w:i/>
                <w:iCs/>
                <w:sz w:val="18"/>
                <w:szCs w:val="18"/>
                <w:lang w:val="et-EE"/>
              </w:rPr>
              <w:t xml:space="preserve"> </w:t>
            </w:r>
            <w:r w:rsidRPr="00FD5087">
              <w:rPr>
                <w:rFonts w:cs="Arial"/>
                <w:sz w:val="18"/>
                <w:szCs w:val="18"/>
                <w:lang w:val="et-EE"/>
              </w:rPr>
              <w:t>soovituse järgi</w:t>
            </w:r>
            <w:r w:rsidRPr="00FD5087">
              <w:rPr>
                <w:rFonts w:cs="Arial"/>
                <w:bCs w:val="0"/>
                <w:sz w:val="18"/>
                <w:szCs w:val="18"/>
                <w:lang w:val="et-EE"/>
              </w:rPr>
              <w:t xml:space="preserve"> </w:t>
            </w:r>
            <w:r w:rsidRPr="00FD5087">
              <w:rPr>
                <w:rFonts w:cs="Arial"/>
                <w:sz w:val="18"/>
                <w:szCs w:val="18"/>
                <w:lang w:val="et-EE"/>
              </w:rPr>
              <w:t>tuleks süsinikumahukate projektide puhul lugeda oluliseks kliimamõjuks, kui projekti KHG</w:t>
            </w:r>
            <w:r w:rsidRPr="00FD5087">
              <w:rPr>
                <w:rFonts w:cs="Arial"/>
                <w:bCs w:val="0"/>
                <w:sz w:val="18"/>
                <w:szCs w:val="18"/>
                <w:lang w:val="et-EE"/>
              </w:rPr>
              <w:t xml:space="preserve"> </w:t>
            </w:r>
            <w:r w:rsidRPr="00FD5087">
              <w:rPr>
                <w:rFonts w:cs="Arial"/>
                <w:sz w:val="18"/>
                <w:szCs w:val="18"/>
                <w:lang w:val="et-EE"/>
              </w:rPr>
              <w:t xml:space="preserve">heide moodustab </w:t>
            </w:r>
            <w:r w:rsidRPr="00FD5087">
              <w:rPr>
                <w:rFonts w:cs="Arial"/>
                <w:b/>
                <w:bCs w:val="0"/>
                <w:sz w:val="18"/>
                <w:szCs w:val="18"/>
                <w:lang w:val="et-EE"/>
              </w:rPr>
              <w:t>5%</w:t>
            </w:r>
            <w:r w:rsidRPr="00FD5087">
              <w:rPr>
                <w:rFonts w:cs="Arial"/>
                <w:sz w:val="18"/>
                <w:szCs w:val="18"/>
                <w:lang w:val="et-EE"/>
              </w:rPr>
              <w:t xml:space="preserve"> riiklikust kvantitatiivsest kliimaeesmärgist vastaval perioodil.</w:t>
            </w:r>
            <w:r w:rsidR="001C5847" w:rsidRPr="00FD5087">
              <w:rPr>
                <w:rStyle w:val="FootnoteReference"/>
                <w:rFonts w:cs="Arial"/>
                <w:sz w:val="18"/>
                <w:szCs w:val="18"/>
                <w:lang w:val="et-EE"/>
              </w:rPr>
              <w:footnoteReference w:id="15"/>
            </w:r>
            <w:r w:rsidRPr="00FD5087">
              <w:rPr>
                <w:rFonts w:cs="Arial"/>
                <w:sz w:val="18"/>
                <w:szCs w:val="18"/>
                <w:lang w:val="et-EE"/>
              </w:rPr>
              <w:t xml:space="preserve"> Õlitehase</w:t>
            </w:r>
            <w:r w:rsidRPr="00FD5087">
              <w:rPr>
                <w:rFonts w:cs="Arial"/>
                <w:bCs w:val="0"/>
                <w:sz w:val="18"/>
                <w:szCs w:val="18"/>
                <w:lang w:val="et-EE"/>
              </w:rPr>
              <w:t xml:space="preserve"> </w:t>
            </w:r>
            <w:r w:rsidRPr="00FD5087">
              <w:rPr>
                <w:rFonts w:cs="Arial"/>
                <w:sz w:val="18"/>
                <w:szCs w:val="18"/>
                <w:lang w:val="et-EE"/>
              </w:rPr>
              <w:t xml:space="preserve">KHG heide kvalifitseerub ka selle järgi oluliseks keskkonnamõjuks, kuna </w:t>
            </w:r>
            <w:r w:rsidRPr="00FD5087">
              <w:rPr>
                <w:rFonts w:cs="Arial"/>
                <w:sz w:val="18"/>
                <w:szCs w:val="18"/>
                <w:lang w:val="et-EE"/>
              </w:rPr>
              <w:lastRenderedPageBreak/>
              <w:t>moodustab Eesti</w:t>
            </w:r>
            <w:r w:rsidRPr="00FD5087">
              <w:rPr>
                <w:rFonts w:cs="Arial"/>
                <w:bCs w:val="0"/>
                <w:sz w:val="18"/>
                <w:szCs w:val="18"/>
                <w:lang w:val="et-EE"/>
              </w:rPr>
              <w:t xml:space="preserve"> </w:t>
            </w:r>
            <w:r w:rsidRPr="00FD5087">
              <w:rPr>
                <w:rFonts w:cs="Arial"/>
                <w:sz w:val="18"/>
                <w:szCs w:val="18"/>
                <w:lang w:val="et-EE"/>
              </w:rPr>
              <w:t xml:space="preserve">2035. aasta süsinikuheite eesmärgist </w:t>
            </w:r>
            <w:r w:rsidRPr="00FD5087">
              <w:rPr>
                <w:rFonts w:cs="Arial"/>
                <w:b/>
                <w:bCs w:val="0"/>
                <w:sz w:val="18"/>
                <w:szCs w:val="18"/>
                <w:lang w:val="et-EE"/>
              </w:rPr>
              <w:t>üle 10%</w:t>
            </w:r>
            <w:r w:rsidRPr="00FD5087">
              <w:rPr>
                <w:rFonts w:cs="Arial"/>
                <w:sz w:val="18"/>
                <w:szCs w:val="18"/>
                <w:lang w:val="et-EE"/>
              </w:rPr>
              <w:t xml:space="preserve"> (lk 35). Seega ei ole kahtlust, et õlitehasega</w:t>
            </w:r>
            <w:r w:rsidRPr="00FD5087">
              <w:rPr>
                <w:rFonts w:cs="Arial"/>
                <w:bCs w:val="0"/>
                <w:sz w:val="18"/>
                <w:szCs w:val="18"/>
                <w:lang w:val="et-EE"/>
              </w:rPr>
              <w:t xml:space="preserve"> </w:t>
            </w:r>
            <w:r w:rsidRPr="00FD5087">
              <w:rPr>
                <w:rFonts w:cs="Arial"/>
                <w:sz w:val="18"/>
                <w:szCs w:val="18"/>
                <w:lang w:val="et-EE"/>
              </w:rPr>
              <w:t>kaasneb oluline keskkonnamõju KHG heite näol.</w:t>
            </w:r>
          </w:p>
          <w:p w14:paraId="0B42475E" w14:textId="5BDEA086" w:rsidR="00F37D14" w:rsidRPr="00FD5087" w:rsidRDefault="00AF2FA1" w:rsidP="00AF2FA1">
            <w:pPr>
              <w:spacing w:beforeLines="60" w:before="144"/>
              <w:rPr>
                <w:rFonts w:cs="Arial"/>
                <w:bCs w:val="0"/>
                <w:sz w:val="18"/>
                <w:szCs w:val="18"/>
                <w:u w:val="single"/>
                <w:lang w:val="et-EE"/>
              </w:rPr>
            </w:pPr>
            <w:proofErr w:type="spellStart"/>
            <w:r w:rsidRPr="00FD5087">
              <w:rPr>
                <w:rFonts w:cs="Arial"/>
                <w:sz w:val="18"/>
                <w:szCs w:val="18"/>
                <w:lang w:val="et-EE"/>
              </w:rPr>
              <w:t>KeÜS</w:t>
            </w:r>
            <w:proofErr w:type="spellEnd"/>
            <w:r w:rsidRPr="00FD5087">
              <w:rPr>
                <w:rFonts w:cs="Arial"/>
                <w:sz w:val="18"/>
                <w:szCs w:val="18"/>
                <w:lang w:val="et-EE"/>
              </w:rPr>
              <w:t xml:space="preserve"> § 3 lg 2 p 4 tekib eelduslikult oluline keskkonnahäiring siis, kui põhjustatakse oluline</w:t>
            </w:r>
            <w:r w:rsidRPr="00FD5087">
              <w:rPr>
                <w:rFonts w:cs="Arial"/>
                <w:bCs w:val="0"/>
                <w:sz w:val="18"/>
                <w:szCs w:val="18"/>
                <w:lang w:val="et-EE"/>
              </w:rPr>
              <w:t xml:space="preserve"> </w:t>
            </w:r>
            <w:r w:rsidRPr="00FD5087">
              <w:rPr>
                <w:rFonts w:cs="Arial"/>
                <w:sz w:val="18"/>
                <w:szCs w:val="18"/>
                <w:lang w:val="et-EE"/>
              </w:rPr>
              <w:t xml:space="preserve">keskkonnamõju. Kuna õlitehasega kaasneb </w:t>
            </w:r>
            <w:r w:rsidRPr="00FD5087">
              <w:rPr>
                <w:rFonts w:cs="Arial"/>
                <w:sz w:val="18"/>
                <w:szCs w:val="18"/>
                <w:u w:val="single"/>
                <w:lang w:val="et-EE"/>
              </w:rPr>
              <w:t>oluline kasvuhoonegaaside</w:t>
            </w:r>
            <w:r w:rsidRPr="00FD5087">
              <w:rPr>
                <w:rFonts w:cs="Arial"/>
                <w:sz w:val="18"/>
                <w:szCs w:val="18"/>
                <w:lang w:val="et-EE"/>
              </w:rPr>
              <w:t xml:space="preserve"> heide ehk oluline</w:t>
            </w:r>
            <w:r w:rsidRPr="00FD5087">
              <w:rPr>
                <w:rFonts w:cs="Arial"/>
                <w:bCs w:val="0"/>
                <w:sz w:val="18"/>
                <w:szCs w:val="18"/>
                <w:lang w:val="et-EE"/>
              </w:rPr>
              <w:t xml:space="preserve"> </w:t>
            </w:r>
            <w:r w:rsidRPr="00FD5087">
              <w:rPr>
                <w:rFonts w:cs="Arial"/>
                <w:sz w:val="18"/>
                <w:szCs w:val="18"/>
                <w:lang w:val="et-EE"/>
              </w:rPr>
              <w:t>keskkonnamõju, kaasneb õlitehasega eelduslikult oluline keskkonnahäiring. KMH aruandes</w:t>
            </w:r>
            <w:r w:rsidRPr="00FD5087">
              <w:rPr>
                <w:rFonts w:cs="Arial"/>
                <w:bCs w:val="0"/>
                <w:sz w:val="18"/>
                <w:szCs w:val="18"/>
                <w:lang w:val="et-EE"/>
              </w:rPr>
              <w:t xml:space="preserve"> </w:t>
            </w:r>
            <w:r w:rsidRPr="00FD5087">
              <w:rPr>
                <w:rFonts w:cs="Arial"/>
                <w:sz w:val="18"/>
                <w:szCs w:val="18"/>
                <w:lang w:val="et-EE"/>
              </w:rPr>
              <w:t>pole häiringu olulisust ümber lükatud. Selleks, et õlitehasega kaasnevat olulist</w:t>
            </w:r>
            <w:r w:rsidRPr="00FD5087">
              <w:rPr>
                <w:rFonts w:cs="Arial"/>
                <w:bCs w:val="0"/>
                <w:sz w:val="18"/>
                <w:szCs w:val="18"/>
                <w:lang w:val="et-EE"/>
              </w:rPr>
              <w:t xml:space="preserve"> </w:t>
            </w:r>
            <w:r w:rsidRPr="00FD5087">
              <w:rPr>
                <w:rFonts w:cs="Arial"/>
                <w:sz w:val="18"/>
                <w:szCs w:val="18"/>
                <w:lang w:val="et-EE"/>
              </w:rPr>
              <w:t>keskkonnahäiringut saaks pidada keskkonnaohuks, peab olulise keskkonnahäiringu</w:t>
            </w:r>
            <w:r w:rsidRPr="00FD5087">
              <w:rPr>
                <w:rFonts w:cs="Arial"/>
                <w:bCs w:val="0"/>
                <w:sz w:val="18"/>
                <w:szCs w:val="18"/>
                <w:lang w:val="et-EE"/>
              </w:rPr>
              <w:t xml:space="preserve"> </w:t>
            </w:r>
            <w:r w:rsidRPr="00FD5087">
              <w:rPr>
                <w:rFonts w:cs="Arial"/>
                <w:sz w:val="18"/>
                <w:szCs w:val="18"/>
                <w:lang w:val="et-EE"/>
              </w:rPr>
              <w:t xml:space="preserve">tekkimine olema </w:t>
            </w:r>
            <w:r w:rsidRPr="00FD5087">
              <w:rPr>
                <w:rFonts w:cs="Arial"/>
                <w:sz w:val="18"/>
                <w:szCs w:val="18"/>
                <w:u w:val="single"/>
                <w:lang w:val="et-EE"/>
              </w:rPr>
              <w:t>piisavalt tõenäoline</w:t>
            </w:r>
            <w:r w:rsidRPr="00FD5087">
              <w:rPr>
                <w:rFonts w:cs="Arial"/>
                <w:sz w:val="18"/>
                <w:szCs w:val="18"/>
                <w:lang w:val="et-EE"/>
              </w:rPr>
              <w:t xml:space="preserve"> (</w:t>
            </w:r>
            <w:proofErr w:type="spellStart"/>
            <w:r w:rsidRPr="00FD5087">
              <w:rPr>
                <w:rFonts w:cs="Arial"/>
                <w:sz w:val="18"/>
                <w:szCs w:val="18"/>
                <w:lang w:val="et-EE"/>
              </w:rPr>
              <w:t>KeÜS</w:t>
            </w:r>
            <w:proofErr w:type="spellEnd"/>
            <w:r w:rsidRPr="00FD5087">
              <w:rPr>
                <w:rFonts w:cs="Arial"/>
                <w:sz w:val="18"/>
                <w:szCs w:val="18"/>
                <w:lang w:val="et-EE"/>
              </w:rPr>
              <w:t xml:space="preserve"> § 5). KMH aruandes on sõnastatud kindlas</w:t>
            </w:r>
            <w:r w:rsidRPr="00FD5087">
              <w:rPr>
                <w:rFonts w:cs="Arial"/>
                <w:bCs w:val="0"/>
                <w:sz w:val="18"/>
                <w:szCs w:val="18"/>
                <w:lang w:val="et-EE"/>
              </w:rPr>
              <w:t xml:space="preserve"> </w:t>
            </w:r>
            <w:r w:rsidRPr="00FD5087">
              <w:rPr>
                <w:rFonts w:cs="Arial"/>
                <w:sz w:val="18"/>
                <w:szCs w:val="18"/>
                <w:lang w:val="et-EE"/>
              </w:rPr>
              <w:t>kõneviisis, et õlitehase kasutusperioodil tekib oluline hulk KHG emissioone (lk 36), st olulise</w:t>
            </w:r>
            <w:r w:rsidRPr="00FD5087">
              <w:rPr>
                <w:rFonts w:cs="Arial"/>
                <w:bCs w:val="0"/>
                <w:sz w:val="18"/>
                <w:szCs w:val="18"/>
                <w:lang w:val="et-EE"/>
              </w:rPr>
              <w:t xml:space="preserve"> </w:t>
            </w:r>
            <w:r w:rsidRPr="00FD5087">
              <w:rPr>
                <w:rFonts w:cs="Arial"/>
                <w:sz w:val="18"/>
                <w:szCs w:val="18"/>
                <w:lang w:val="et-EE"/>
              </w:rPr>
              <w:t>keskkonnahäiringu tekkimine on kindel. Piisava tõenäosuse künnis on täidetud ka seetõttu, et</w:t>
            </w:r>
            <w:r w:rsidRPr="00FD5087">
              <w:rPr>
                <w:rFonts w:cs="Arial"/>
                <w:bCs w:val="0"/>
                <w:sz w:val="18"/>
                <w:szCs w:val="18"/>
                <w:lang w:val="et-EE"/>
              </w:rPr>
              <w:t xml:space="preserve"> </w:t>
            </w:r>
            <w:r w:rsidRPr="00FD5087">
              <w:rPr>
                <w:rFonts w:cs="Arial"/>
                <w:sz w:val="18"/>
                <w:szCs w:val="18"/>
                <w:lang w:val="et-EE"/>
              </w:rPr>
              <w:t>KHG heitmete mõju kliimamuutustele on leidnud teaduses korduvalt kinnitust ning oma</w:t>
            </w:r>
            <w:r w:rsidRPr="00FD5087">
              <w:rPr>
                <w:rFonts w:cs="Arial"/>
                <w:bCs w:val="0"/>
                <w:sz w:val="18"/>
                <w:szCs w:val="18"/>
                <w:lang w:val="et-EE"/>
              </w:rPr>
              <w:t xml:space="preserve"> </w:t>
            </w:r>
            <w:r w:rsidRPr="00FD5087">
              <w:rPr>
                <w:rFonts w:cs="Arial"/>
                <w:sz w:val="18"/>
                <w:szCs w:val="18"/>
                <w:lang w:val="et-EE"/>
              </w:rPr>
              <w:t xml:space="preserve">hiljutises raportis määratleb IPCC kliimamuutuste </w:t>
            </w:r>
            <w:proofErr w:type="spellStart"/>
            <w:r w:rsidRPr="00FD5087">
              <w:rPr>
                <w:rFonts w:cs="Arial"/>
                <w:sz w:val="18"/>
                <w:szCs w:val="18"/>
                <w:lang w:val="et-EE"/>
              </w:rPr>
              <w:t>inimtekkelisust</w:t>
            </w:r>
            <w:proofErr w:type="spellEnd"/>
            <w:r w:rsidRPr="00FD5087">
              <w:rPr>
                <w:rFonts w:cs="Arial"/>
                <w:sz w:val="18"/>
                <w:szCs w:val="18"/>
                <w:lang w:val="et-EE"/>
              </w:rPr>
              <w:t xml:space="preserve"> kui teaduslikult tõendatud</w:t>
            </w:r>
            <w:r w:rsidRPr="00FD5087">
              <w:rPr>
                <w:rFonts w:cs="Arial"/>
                <w:bCs w:val="0"/>
                <w:sz w:val="18"/>
                <w:szCs w:val="18"/>
                <w:lang w:val="et-EE"/>
              </w:rPr>
              <w:t xml:space="preserve"> </w:t>
            </w:r>
            <w:r w:rsidRPr="00FD5087">
              <w:rPr>
                <w:rFonts w:cs="Arial"/>
                <w:sz w:val="18"/>
                <w:szCs w:val="18"/>
                <w:lang w:val="et-EE"/>
              </w:rPr>
              <w:t>fakti</w:t>
            </w:r>
            <w:r w:rsidR="001C5847" w:rsidRPr="00FD5087">
              <w:rPr>
                <w:rStyle w:val="FootnoteReference"/>
                <w:rFonts w:cs="Arial"/>
                <w:sz w:val="18"/>
                <w:szCs w:val="18"/>
                <w:lang w:val="et-EE"/>
              </w:rPr>
              <w:footnoteReference w:id="16"/>
            </w:r>
            <w:r w:rsidRPr="00FD5087">
              <w:rPr>
                <w:rFonts w:cs="Arial"/>
                <w:sz w:val="18"/>
                <w:szCs w:val="18"/>
                <w:lang w:val="et-EE"/>
              </w:rPr>
              <w:t>.</w:t>
            </w:r>
            <w:r w:rsidR="00E80E7E" w:rsidRPr="00FD5087">
              <w:rPr>
                <w:rFonts w:cs="Arial"/>
                <w:sz w:val="18"/>
                <w:szCs w:val="18"/>
                <w:lang w:val="et-EE"/>
              </w:rPr>
              <w:t xml:space="preserve"> </w:t>
            </w:r>
            <w:r w:rsidRPr="00FD5087">
              <w:rPr>
                <w:rFonts w:cs="Arial"/>
                <w:sz w:val="18"/>
                <w:szCs w:val="18"/>
                <w:lang w:val="et-EE"/>
              </w:rPr>
              <w:t>Kuna iga lisanduv tonn kasvuhoonegaase süvendab kliimamuutuseid, nagu on</w:t>
            </w:r>
            <w:r w:rsidRPr="00FD5087">
              <w:rPr>
                <w:rFonts w:cs="Arial"/>
                <w:bCs w:val="0"/>
                <w:sz w:val="18"/>
                <w:szCs w:val="18"/>
                <w:lang w:val="et-EE"/>
              </w:rPr>
              <w:t xml:space="preserve"> </w:t>
            </w:r>
            <w:r w:rsidRPr="00FD5087">
              <w:rPr>
                <w:rFonts w:cs="Arial"/>
                <w:sz w:val="18"/>
                <w:szCs w:val="18"/>
                <w:lang w:val="et-EE"/>
              </w:rPr>
              <w:t>rõhutanud ka IPCC, on põhjuslik seos õlitehase projekti ja kliimamuutuste vahel olemas. Ka</w:t>
            </w:r>
            <w:r w:rsidRPr="00FD5087">
              <w:rPr>
                <w:rFonts w:cs="Arial"/>
                <w:bCs w:val="0"/>
                <w:sz w:val="18"/>
                <w:szCs w:val="18"/>
                <w:lang w:val="et-EE"/>
              </w:rPr>
              <w:t xml:space="preserve"> </w:t>
            </w:r>
            <w:r w:rsidRPr="00FD5087">
              <w:rPr>
                <w:rFonts w:cs="Arial"/>
                <w:sz w:val="18"/>
                <w:szCs w:val="18"/>
                <w:lang w:val="et-EE"/>
              </w:rPr>
              <w:t>pidurdamatute kliimamuutuste katastroofiliste tagajärgede osas valitseb teaduses piisav</w:t>
            </w:r>
            <w:r w:rsidRPr="00FD5087">
              <w:rPr>
                <w:rFonts w:cs="Arial"/>
                <w:bCs w:val="0"/>
                <w:sz w:val="18"/>
                <w:szCs w:val="18"/>
                <w:lang w:val="et-EE"/>
              </w:rPr>
              <w:t xml:space="preserve"> </w:t>
            </w:r>
            <w:r w:rsidRPr="00FD5087">
              <w:rPr>
                <w:rFonts w:cs="Arial"/>
                <w:sz w:val="18"/>
                <w:szCs w:val="18"/>
                <w:lang w:val="et-EE"/>
              </w:rPr>
              <w:t xml:space="preserve">kindlus. Järelikult lähtub õlitehasest </w:t>
            </w:r>
            <w:r w:rsidRPr="00FD5087">
              <w:rPr>
                <w:rFonts w:cs="Arial"/>
                <w:sz w:val="18"/>
                <w:szCs w:val="18"/>
                <w:u w:val="single"/>
                <w:lang w:val="et-EE"/>
              </w:rPr>
              <w:t>keskkonnaoht.</w:t>
            </w:r>
          </w:p>
          <w:p w14:paraId="79FAD617" w14:textId="59FDDE4B" w:rsidR="00AF2FA1" w:rsidRPr="00FD5087" w:rsidRDefault="00AF2FA1" w:rsidP="00AF2FA1">
            <w:pPr>
              <w:spacing w:beforeLines="60" w:before="144"/>
              <w:rPr>
                <w:rFonts w:cs="Arial"/>
                <w:sz w:val="18"/>
                <w:szCs w:val="18"/>
                <w:lang w:val="et-EE"/>
              </w:rPr>
            </w:pPr>
            <w:proofErr w:type="spellStart"/>
            <w:r w:rsidRPr="00FD5087">
              <w:rPr>
                <w:rFonts w:cs="Arial"/>
                <w:sz w:val="18"/>
                <w:szCs w:val="18"/>
                <w:lang w:val="et-EE"/>
              </w:rPr>
              <w:t>KeÜS</w:t>
            </w:r>
            <w:proofErr w:type="spellEnd"/>
            <w:r w:rsidRPr="00FD5087">
              <w:rPr>
                <w:rFonts w:cs="Arial"/>
                <w:sz w:val="18"/>
                <w:szCs w:val="18"/>
                <w:lang w:val="et-EE"/>
              </w:rPr>
              <w:t xml:space="preserve"> § 10 kohaselt tuleb </w:t>
            </w:r>
            <w:r w:rsidRPr="00FD5087">
              <w:rPr>
                <w:rFonts w:cs="Arial"/>
                <w:sz w:val="18"/>
                <w:szCs w:val="18"/>
                <w:u w:val="single"/>
                <w:lang w:val="et-EE"/>
              </w:rPr>
              <w:t>keskkonnaohtu vältida</w:t>
            </w:r>
            <w:r w:rsidRPr="00FD5087">
              <w:rPr>
                <w:rFonts w:cs="Arial"/>
                <w:sz w:val="18"/>
                <w:szCs w:val="18"/>
                <w:lang w:val="et-EE"/>
              </w:rPr>
              <w:t>. Seetõttu on väär KMH aruandes esitatud</w:t>
            </w:r>
            <w:r w:rsidRPr="00FD5087">
              <w:rPr>
                <w:rFonts w:cs="Arial"/>
                <w:bCs w:val="0"/>
                <w:sz w:val="18"/>
                <w:szCs w:val="18"/>
                <w:lang w:val="et-EE"/>
              </w:rPr>
              <w:t xml:space="preserve"> </w:t>
            </w:r>
            <w:r w:rsidRPr="00FD5087">
              <w:rPr>
                <w:rFonts w:cs="Arial"/>
                <w:sz w:val="18"/>
                <w:szCs w:val="18"/>
                <w:lang w:val="et-EE"/>
              </w:rPr>
              <w:t>väide, et “käesoleval hetkel ei ole ühtegi konkreetset asjaolu, mis välistaks sellise tehase</w:t>
            </w:r>
            <w:r w:rsidRPr="00FD5087">
              <w:rPr>
                <w:rFonts w:cs="Arial"/>
                <w:bCs w:val="0"/>
                <w:sz w:val="18"/>
                <w:szCs w:val="18"/>
                <w:lang w:val="et-EE"/>
              </w:rPr>
              <w:t xml:space="preserve"> </w:t>
            </w:r>
            <w:r w:rsidRPr="00FD5087">
              <w:rPr>
                <w:rFonts w:cs="Arial"/>
                <w:sz w:val="18"/>
                <w:szCs w:val="18"/>
                <w:lang w:val="et-EE"/>
              </w:rPr>
              <w:t>rajamist kliimamõjude ja nende leevendamise eesmärgil rahvusvaheliselt või siseriiklikult</w:t>
            </w:r>
            <w:r w:rsidRPr="00FD5087">
              <w:rPr>
                <w:rFonts w:cs="Arial"/>
                <w:bCs w:val="0"/>
                <w:sz w:val="18"/>
                <w:szCs w:val="18"/>
                <w:lang w:val="et-EE"/>
              </w:rPr>
              <w:t xml:space="preserve"> </w:t>
            </w:r>
            <w:r w:rsidRPr="00FD5087">
              <w:rPr>
                <w:rFonts w:cs="Arial"/>
                <w:sz w:val="18"/>
                <w:szCs w:val="18"/>
                <w:lang w:val="et-EE"/>
              </w:rPr>
              <w:t>seatud tegevuskavadest või piirmääradest tulenevalt” (lk 36). Tõsiasi, et Enefit280-2 seadme</w:t>
            </w:r>
            <w:r w:rsidRPr="00FD5087">
              <w:rPr>
                <w:rFonts w:cs="Arial"/>
                <w:bCs w:val="0"/>
                <w:sz w:val="18"/>
                <w:szCs w:val="18"/>
                <w:lang w:val="et-EE"/>
              </w:rPr>
              <w:t xml:space="preserve"> </w:t>
            </w:r>
            <w:r w:rsidRPr="00FD5087">
              <w:rPr>
                <w:rFonts w:cs="Arial"/>
                <w:sz w:val="18"/>
                <w:szCs w:val="18"/>
                <w:lang w:val="et-EE"/>
              </w:rPr>
              <w:t xml:space="preserve">kasutusaegsed heitmed kuuluvad peamiselt </w:t>
            </w:r>
            <w:r w:rsidRPr="00FD5087">
              <w:rPr>
                <w:rFonts w:cs="Arial"/>
                <w:b/>
                <w:bCs w:val="0"/>
                <w:sz w:val="18"/>
                <w:szCs w:val="18"/>
                <w:lang w:val="et-EE"/>
              </w:rPr>
              <w:t>EL HKS</w:t>
            </w:r>
            <w:r w:rsidRPr="00FD5087">
              <w:rPr>
                <w:rFonts w:cs="Arial"/>
                <w:sz w:val="18"/>
                <w:szCs w:val="18"/>
                <w:lang w:val="et-EE"/>
              </w:rPr>
              <w:t xml:space="preserve"> alla, mille raames ei ole liikmesriikidele</w:t>
            </w:r>
            <w:r w:rsidRPr="00FD5087">
              <w:rPr>
                <w:rFonts w:cs="Arial"/>
                <w:bCs w:val="0"/>
                <w:sz w:val="18"/>
                <w:szCs w:val="18"/>
                <w:lang w:val="et-EE"/>
              </w:rPr>
              <w:t xml:space="preserve"> </w:t>
            </w:r>
            <w:r w:rsidRPr="00FD5087">
              <w:rPr>
                <w:rFonts w:cs="Arial"/>
                <w:sz w:val="18"/>
                <w:szCs w:val="18"/>
                <w:lang w:val="et-EE"/>
              </w:rPr>
              <w:t xml:space="preserve">eraldi eesmärke või kohustusi seatud (lk 36), ei tähenda, et </w:t>
            </w:r>
            <w:proofErr w:type="spellStart"/>
            <w:r w:rsidRPr="00FD5087">
              <w:rPr>
                <w:rFonts w:cs="Arial"/>
                <w:sz w:val="18"/>
                <w:szCs w:val="18"/>
                <w:lang w:val="et-EE"/>
              </w:rPr>
              <w:t>KeÜS</w:t>
            </w:r>
            <w:proofErr w:type="spellEnd"/>
            <w:r w:rsidRPr="00FD5087">
              <w:rPr>
                <w:rFonts w:cs="Arial"/>
                <w:sz w:val="18"/>
                <w:szCs w:val="18"/>
                <w:lang w:val="et-EE"/>
              </w:rPr>
              <w:t>-st tulenev regulatsioon</w:t>
            </w:r>
            <w:r w:rsidRPr="00FD5087">
              <w:rPr>
                <w:rFonts w:cs="Arial"/>
                <w:bCs w:val="0"/>
                <w:sz w:val="18"/>
                <w:szCs w:val="18"/>
                <w:lang w:val="et-EE"/>
              </w:rPr>
              <w:t xml:space="preserve"> </w:t>
            </w:r>
            <w:r w:rsidRPr="00FD5087">
              <w:rPr>
                <w:rFonts w:cs="Arial"/>
                <w:sz w:val="18"/>
                <w:szCs w:val="18"/>
                <w:lang w:val="et-EE"/>
              </w:rPr>
              <w:t xml:space="preserve">Enefit280-2 seadme kasutamisele ei kohaldu. Atmosfääriõhu </w:t>
            </w:r>
            <w:r w:rsidRPr="00FD5087">
              <w:rPr>
                <w:rFonts w:cs="Arial"/>
                <w:sz w:val="18"/>
                <w:szCs w:val="18"/>
                <w:lang w:val="et-EE"/>
              </w:rPr>
              <w:lastRenderedPageBreak/>
              <w:t xml:space="preserve">kaitse seaduse § 1451 lg 1 p 2 kohaselt tuleb jätta </w:t>
            </w:r>
            <w:r w:rsidRPr="00FD5087">
              <w:rPr>
                <w:rFonts w:cs="Arial"/>
                <w:bCs w:val="0"/>
                <w:sz w:val="18"/>
                <w:szCs w:val="18"/>
                <w:lang w:val="et-EE"/>
              </w:rPr>
              <w:t>k</w:t>
            </w:r>
            <w:r w:rsidRPr="00FD5087">
              <w:rPr>
                <w:rFonts w:cs="Arial"/>
                <w:sz w:val="18"/>
                <w:szCs w:val="18"/>
                <w:lang w:val="et-EE"/>
              </w:rPr>
              <w:t xml:space="preserve">auplemissüsteemi luba andmata, kui esineb </w:t>
            </w:r>
            <w:proofErr w:type="spellStart"/>
            <w:r w:rsidRPr="00FD5087">
              <w:rPr>
                <w:rFonts w:cs="Arial"/>
                <w:sz w:val="18"/>
                <w:szCs w:val="18"/>
                <w:lang w:val="et-EE"/>
              </w:rPr>
              <w:t>KeÜS</w:t>
            </w:r>
            <w:proofErr w:type="spellEnd"/>
            <w:r w:rsidRPr="00FD5087">
              <w:rPr>
                <w:rFonts w:cs="Arial"/>
                <w:sz w:val="18"/>
                <w:szCs w:val="18"/>
                <w:lang w:val="et-EE"/>
              </w:rPr>
              <w:t xml:space="preserve"> § 52 lõikes 1</w:t>
            </w:r>
            <w:r w:rsidRPr="00FD5087">
              <w:rPr>
                <w:rFonts w:cs="Arial"/>
                <w:bCs w:val="0"/>
                <w:sz w:val="18"/>
                <w:szCs w:val="18"/>
                <w:lang w:val="et-EE"/>
              </w:rPr>
              <w:t xml:space="preserve"> </w:t>
            </w:r>
            <w:r w:rsidRPr="00FD5087">
              <w:rPr>
                <w:rFonts w:cs="Arial"/>
                <w:sz w:val="18"/>
                <w:szCs w:val="18"/>
                <w:lang w:val="et-EE"/>
              </w:rPr>
              <w:t>nimetatud asjaolu, näiteks keskkonnaoht (</w:t>
            </w:r>
            <w:proofErr w:type="spellStart"/>
            <w:r w:rsidRPr="00FD5087">
              <w:rPr>
                <w:rFonts w:cs="Arial"/>
                <w:sz w:val="18"/>
                <w:szCs w:val="18"/>
                <w:lang w:val="et-EE"/>
              </w:rPr>
              <w:t>KeÜS</w:t>
            </w:r>
            <w:proofErr w:type="spellEnd"/>
            <w:r w:rsidRPr="00FD5087">
              <w:rPr>
                <w:rFonts w:cs="Arial"/>
                <w:sz w:val="18"/>
                <w:szCs w:val="18"/>
                <w:lang w:val="et-EE"/>
              </w:rPr>
              <w:t xml:space="preserve"> § 52 lg 1 p 6) või oht, et kõnealuse ja teiste</w:t>
            </w:r>
            <w:r w:rsidRPr="00FD5087">
              <w:rPr>
                <w:rFonts w:cs="Arial"/>
                <w:bCs w:val="0"/>
                <w:sz w:val="18"/>
                <w:szCs w:val="18"/>
                <w:lang w:val="et-EE"/>
              </w:rPr>
              <w:t xml:space="preserve"> </w:t>
            </w:r>
            <w:r w:rsidRPr="00FD5087">
              <w:rPr>
                <w:rFonts w:cs="Arial"/>
                <w:sz w:val="18"/>
                <w:szCs w:val="18"/>
                <w:lang w:val="et-EE"/>
              </w:rPr>
              <w:t>projektide koosmõjus on võimatu täita KHG heite vähendamise eesmärke ja nõudeid (</w:t>
            </w:r>
            <w:proofErr w:type="spellStart"/>
            <w:r w:rsidRPr="00FD5087">
              <w:rPr>
                <w:rFonts w:cs="Arial"/>
                <w:sz w:val="18"/>
                <w:szCs w:val="18"/>
                <w:lang w:val="et-EE"/>
              </w:rPr>
              <w:t>KeÜS</w:t>
            </w:r>
            <w:proofErr w:type="spellEnd"/>
            <w:r w:rsidRPr="00FD5087">
              <w:rPr>
                <w:rFonts w:cs="Arial"/>
                <w:bCs w:val="0"/>
                <w:sz w:val="18"/>
                <w:szCs w:val="18"/>
                <w:lang w:val="et-EE"/>
              </w:rPr>
              <w:t xml:space="preserve"> </w:t>
            </w:r>
            <w:r w:rsidRPr="00FD5087">
              <w:rPr>
                <w:rFonts w:cs="Arial"/>
                <w:sz w:val="18"/>
                <w:szCs w:val="18"/>
                <w:lang w:val="et-EE"/>
              </w:rPr>
              <w:t xml:space="preserve">§ 52 lg 1 p 9). </w:t>
            </w:r>
            <w:r w:rsidRPr="00FD5087">
              <w:rPr>
                <w:rFonts w:cs="Arial"/>
                <w:b/>
                <w:bCs w:val="0"/>
                <w:sz w:val="18"/>
                <w:szCs w:val="18"/>
                <w:lang w:val="et-EE"/>
              </w:rPr>
              <w:t xml:space="preserve">Palume väär väide KMH aruandest kustutada ning täiendada aruannet </w:t>
            </w:r>
            <w:proofErr w:type="spellStart"/>
            <w:r w:rsidRPr="00FD5087">
              <w:rPr>
                <w:rFonts w:cs="Arial"/>
                <w:b/>
                <w:bCs w:val="0"/>
                <w:sz w:val="18"/>
                <w:szCs w:val="18"/>
                <w:lang w:val="et-EE"/>
              </w:rPr>
              <w:t>KeÜS</w:t>
            </w:r>
            <w:proofErr w:type="spellEnd"/>
            <w:r w:rsidRPr="00FD5087">
              <w:rPr>
                <w:rFonts w:cs="Arial"/>
                <w:b/>
                <w:bCs w:val="0"/>
                <w:sz w:val="18"/>
                <w:szCs w:val="18"/>
                <w:lang w:val="et-EE"/>
              </w:rPr>
              <w:t xml:space="preserve"> §-st 10 tuleneva vältimispõhimõttega.</w:t>
            </w:r>
          </w:p>
        </w:tc>
        <w:tc>
          <w:tcPr>
            <w:tcW w:w="7377" w:type="dxa"/>
            <w:shd w:val="clear" w:color="auto" w:fill="FFFFFF" w:themeFill="background1"/>
            <w:vAlign w:val="top"/>
          </w:tcPr>
          <w:p w14:paraId="68BA2340" w14:textId="3A95D420" w:rsidR="00F1504A" w:rsidRDefault="00C563C4" w:rsidP="00C563C4">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603E8256">
              <w:rPr>
                <w:rFonts w:cs="Arial"/>
                <w:sz w:val="18"/>
                <w:szCs w:val="18"/>
                <w:lang w:val="et-EE"/>
              </w:rPr>
              <w:lastRenderedPageBreak/>
              <w:t xml:space="preserve">Kindlasti ei saa järeldada, et projektiga kaasnev oluline KHG kogus (ja seda ta vaieldamatult on Eesti mastaapides) võrdub automaatselt olulise kliimamõju või keskkonnahäiringuga. </w:t>
            </w:r>
            <w:r w:rsidR="00F1504A" w:rsidRPr="00FD5087">
              <w:rPr>
                <w:rFonts w:cs="Arial"/>
                <w:sz w:val="18"/>
                <w:szCs w:val="18"/>
                <w:lang w:val="et-EE"/>
              </w:rPr>
              <w:t>Viidatud Euroopa Komisjoni ning Euroopa Investeerimispanga künnis, 20 000 t aastas, ei tähenda automaatselt seda, et tegemist oleks olulise kliimamõju ja keelatud tegevusega, vaid seda, et läbi tuleb viia detailsem hindamine ning jõuda selgusele, kas projekt on kooskõlas 2030. ja 2050. aasta KHG vähendamise eesmärkidega. Ja antud juhul ei olegi võimalik lõplikku hinnangut selle kooskõla osas anda, kuna see sõltub riiklikest prioriteetidest ja nende elluviimise (sh erinevate KHG vähendamise meetmete) edukusest.</w:t>
            </w:r>
            <w:r w:rsidR="00F1504A">
              <w:rPr>
                <w:rFonts w:cs="Arial"/>
                <w:sz w:val="18"/>
                <w:szCs w:val="18"/>
                <w:lang w:val="et-EE"/>
              </w:rPr>
              <w:t xml:space="preserve"> Lisaks ei ole asjakohane teha kutseorganisatsiooni soovituslikku künnise alus õiguslikult siduvaid järeldusi. </w:t>
            </w:r>
            <w:proofErr w:type="spellStart"/>
            <w:r w:rsidR="00F1504A">
              <w:rPr>
                <w:rFonts w:cs="Arial"/>
                <w:sz w:val="18"/>
                <w:szCs w:val="18"/>
                <w:lang w:val="et-EE"/>
              </w:rPr>
              <w:t>KeÜS</w:t>
            </w:r>
            <w:proofErr w:type="spellEnd"/>
            <w:r w:rsidR="00F1504A">
              <w:rPr>
                <w:rFonts w:cs="Arial"/>
                <w:sz w:val="18"/>
                <w:szCs w:val="18"/>
                <w:lang w:val="et-EE"/>
              </w:rPr>
              <w:t xml:space="preserve"> ega ka muud õigusaktid ei sätesta KHG heite olulisuse piirmäära</w:t>
            </w:r>
            <w:r w:rsidR="00792D30">
              <w:rPr>
                <w:rFonts w:cs="Arial"/>
                <w:sz w:val="18"/>
                <w:szCs w:val="18"/>
                <w:lang w:val="et-EE"/>
              </w:rPr>
              <w:t xml:space="preserve">, kuid see ei tähenda, et mõjude hindamisel oleks Enefit280-2 projektiga kaasneva KHG heite olulisust eiratud. </w:t>
            </w:r>
          </w:p>
          <w:p w14:paraId="62932BF2" w14:textId="77777777" w:rsidR="00F56AAC" w:rsidRDefault="00C563C4" w:rsidP="00C563C4">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603E8256">
              <w:rPr>
                <w:rFonts w:cs="Arial"/>
                <w:sz w:val="18"/>
                <w:szCs w:val="18"/>
                <w:lang w:val="et-EE"/>
              </w:rPr>
              <w:t xml:space="preserve">Nagu eelnevalt punktis 3.1a on selgitatud, siis saab kliimamõju olulisust hinnata ikkagi kumulatiivselt ja laiemas kontekstis, milleks on antud juhul Eesti riiklike kliimaeesmärkide saavutamine. </w:t>
            </w:r>
            <w:r w:rsidR="005B1564">
              <w:rPr>
                <w:rFonts w:cs="Arial"/>
                <w:sz w:val="18"/>
                <w:szCs w:val="18"/>
                <w:lang w:val="et-EE"/>
              </w:rPr>
              <w:t>A</w:t>
            </w:r>
            <w:r w:rsidRPr="603E8256">
              <w:rPr>
                <w:rFonts w:cs="Arial"/>
                <w:sz w:val="18"/>
                <w:szCs w:val="18"/>
                <w:lang w:val="et-EE"/>
              </w:rPr>
              <w:t xml:space="preserve">ntud projekti ja sellega kaasneva KHG heite koguse põhjal </w:t>
            </w:r>
            <w:r w:rsidR="005B1564">
              <w:rPr>
                <w:rFonts w:cs="Arial"/>
                <w:sz w:val="18"/>
                <w:szCs w:val="18"/>
                <w:lang w:val="et-EE"/>
              </w:rPr>
              <w:t xml:space="preserve">ei saa </w:t>
            </w:r>
            <w:r w:rsidRPr="603E8256">
              <w:rPr>
                <w:rFonts w:cs="Arial"/>
                <w:sz w:val="18"/>
                <w:szCs w:val="18"/>
                <w:lang w:val="et-EE"/>
              </w:rPr>
              <w:t>kindlalt väita, et see tooks kindlasti kaasa olulise kliimamõju ja keskkonnahäiringu, kuna täiesti võimalik on ka selline olukord, kus Eesti saavutab kliimaneutraalsuse ka kavandatava Enefit280-2 tehasega, kui suurendab näiteks LULUCF sektori sidumist</w:t>
            </w:r>
            <w:r w:rsidR="50CDC9F2" w:rsidRPr="603E8256">
              <w:rPr>
                <w:rFonts w:cs="Arial"/>
                <w:sz w:val="18"/>
                <w:szCs w:val="18"/>
                <w:lang w:val="et-EE"/>
              </w:rPr>
              <w:t xml:space="preserve">, </w:t>
            </w:r>
            <w:r w:rsidR="005B1564" w:rsidRPr="603E8256">
              <w:rPr>
                <w:rFonts w:cs="Arial"/>
                <w:sz w:val="18"/>
                <w:szCs w:val="18"/>
                <w:lang w:val="et-EE"/>
              </w:rPr>
              <w:t>vähendab teiste sektorite (sh põlevkivist elektri tootmi</w:t>
            </w:r>
            <w:r w:rsidR="005B1564">
              <w:rPr>
                <w:rFonts w:cs="Arial"/>
                <w:sz w:val="18"/>
                <w:szCs w:val="18"/>
                <w:lang w:val="et-EE"/>
              </w:rPr>
              <w:t>s</w:t>
            </w:r>
            <w:r w:rsidR="005B1564" w:rsidRPr="603E8256">
              <w:rPr>
                <w:rFonts w:cs="Arial"/>
                <w:sz w:val="18"/>
                <w:szCs w:val="18"/>
                <w:lang w:val="et-EE"/>
              </w:rPr>
              <w:t xml:space="preserve">e) </w:t>
            </w:r>
            <w:r w:rsidR="50CDC9F2" w:rsidRPr="603E8256">
              <w:rPr>
                <w:rFonts w:cs="Arial"/>
                <w:sz w:val="18"/>
                <w:szCs w:val="18"/>
                <w:lang w:val="et-EE"/>
              </w:rPr>
              <w:t xml:space="preserve">KHG </w:t>
            </w:r>
            <w:r w:rsidR="005B1564" w:rsidRPr="603E8256">
              <w:rPr>
                <w:rFonts w:cs="Arial"/>
                <w:sz w:val="18"/>
                <w:szCs w:val="18"/>
                <w:lang w:val="et-EE"/>
              </w:rPr>
              <w:t>heite koguseid ja täi</w:t>
            </w:r>
            <w:r w:rsidR="00F56AAC">
              <w:rPr>
                <w:rFonts w:cs="Arial"/>
                <w:sz w:val="18"/>
                <w:szCs w:val="18"/>
                <w:lang w:val="et-EE"/>
              </w:rPr>
              <w:t>d</w:t>
            </w:r>
            <w:r w:rsidR="005B1564" w:rsidRPr="603E8256">
              <w:rPr>
                <w:rFonts w:cs="Arial"/>
                <w:sz w:val="18"/>
                <w:szCs w:val="18"/>
                <w:lang w:val="et-EE"/>
              </w:rPr>
              <w:t xml:space="preserve">ab seetõttu endale võetud rahvusvahelised kohustused. Kavandatav tehas küll suurendab kliimaneutraalsele majandusele üleminekuga seonduvaid riske, kuid lähtudes </w:t>
            </w:r>
            <w:r w:rsidR="158BEC9B" w:rsidRPr="603E8256">
              <w:rPr>
                <w:rFonts w:cs="Arial"/>
                <w:sz w:val="18"/>
                <w:szCs w:val="18"/>
                <w:lang w:val="et-EE"/>
              </w:rPr>
              <w:t>EL HKS-</w:t>
            </w:r>
            <w:r w:rsidR="005B1564">
              <w:rPr>
                <w:rFonts w:cs="Arial"/>
                <w:sz w:val="18"/>
                <w:szCs w:val="18"/>
                <w:lang w:val="et-EE"/>
              </w:rPr>
              <w:t>i</w:t>
            </w:r>
            <w:r w:rsidR="012D5329" w:rsidRPr="603E8256">
              <w:rPr>
                <w:rFonts w:cs="Arial"/>
                <w:sz w:val="18"/>
                <w:szCs w:val="18"/>
                <w:lang w:val="et-EE"/>
              </w:rPr>
              <w:t xml:space="preserve"> </w:t>
            </w:r>
            <w:r w:rsidR="005B1564" w:rsidRPr="603E8256">
              <w:rPr>
                <w:rFonts w:cs="Arial"/>
                <w:sz w:val="18"/>
                <w:szCs w:val="18"/>
                <w:lang w:val="et-EE"/>
              </w:rPr>
              <w:t>toimimise põhimõtetest ja selles aruandes esitatud leevendavatest ja muudest võimalikest meetmetest</w:t>
            </w:r>
            <w:r w:rsidR="00F56AAC">
              <w:rPr>
                <w:rFonts w:cs="Arial"/>
                <w:sz w:val="18"/>
                <w:szCs w:val="18"/>
                <w:lang w:val="et-EE"/>
              </w:rPr>
              <w:t>,</w:t>
            </w:r>
            <w:r w:rsidR="005B1564" w:rsidRPr="603E8256">
              <w:rPr>
                <w:rFonts w:cs="Arial"/>
                <w:sz w:val="18"/>
                <w:szCs w:val="18"/>
                <w:lang w:val="et-EE"/>
              </w:rPr>
              <w:t xml:space="preserve"> ei </w:t>
            </w:r>
            <w:r w:rsidR="005B1564">
              <w:rPr>
                <w:rFonts w:cs="Arial"/>
                <w:sz w:val="18"/>
                <w:szCs w:val="18"/>
                <w:lang w:val="et-EE"/>
              </w:rPr>
              <w:t xml:space="preserve">tohiks see </w:t>
            </w:r>
            <w:r w:rsidR="005B1564" w:rsidRPr="603E8256">
              <w:rPr>
                <w:rFonts w:cs="Arial"/>
                <w:sz w:val="18"/>
                <w:szCs w:val="18"/>
                <w:lang w:val="et-EE"/>
              </w:rPr>
              <w:t>saa</w:t>
            </w:r>
            <w:r w:rsidR="005B1564">
              <w:rPr>
                <w:rFonts w:cs="Arial"/>
                <w:sz w:val="18"/>
                <w:szCs w:val="18"/>
                <w:lang w:val="et-EE"/>
              </w:rPr>
              <w:t>da</w:t>
            </w:r>
            <w:r w:rsidR="005B1564" w:rsidRPr="603E8256">
              <w:rPr>
                <w:rFonts w:cs="Arial"/>
                <w:sz w:val="18"/>
                <w:szCs w:val="18"/>
                <w:lang w:val="et-EE"/>
              </w:rPr>
              <w:t xml:space="preserve"> takistuseks</w:t>
            </w:r>
            <w:r w:rsidR="55713F81" w:rsidRPr="603E8256">
              <w:rPr>
                <w:rFonts w:cs="Arial"/>
                <w:sz w:val="18"/>
                <w:szCs w:val="18"/>
                <w:lang w:val="et-EE"/>
              </w:rPr>
              <w:t xml:space="preserve"> E</w:t>
            </w:r>
            <w:r w:rsidR="005B1564" w:rsidRPr="603E8256">
              <w:rPr>
                <w:rFonts w:cs="Arial"/>
                <w:sz w:val="18"/>
                <w:szCs w:val="18"/>
                <w:lang w:val="et-EE"/>
              </w:rPr>
              <w:t>esti</w:t>
            </w:r>
            <w:r w:rsidR="55713F81" w:rsidRPr="603E8256">
              <w:rPr>
                <w:rFonts w:cs="Arial"/>
                <w:sz w:val="18"/>
                <w:szCs w:val="18"/>
                <w:lang w:val="et-EE"/>
              </w:rPr>
              <w:t xml:space="preserve"> </w:t>
            </w:r>
            <w:r w:rsidR="00F56AAC">
              <w:rPr>
                <w:rFonts w:cs="Arial"/>
                <w:sz w:val="18"/>
                <w:szCs w:val="18"/>
                <w:lang w:val="et-EE"/>
              </w:rPr>
              <w:t>ja</w:t>
            </w:r>
            <w:r w:rsidR="55713F81" w:rsidRPr="603E8256">
              <w:rPr>
                <w:rFonts w:cs="Arial"/>
                <w:sz w:val="18"/>
                <w:szCs w:val="18"/>
                <w:lang w:val="et-EE"/>
              </w:rPr>
              <w:t xml:space="preserve"> EL-</w:t>
            </w:r>
            <w:r w:rsidR="005B1564">
              <w:rPr>
                <w:rFonts w:cs="Arial"/>
                <w:sz w:val="18"/>
                <w:szCs w:val="18"/>
                <w:lang w:val="et-EE"/>
              </w:rPr>
              <w:t>i</w:t>
            </w:r>
            <w:r w:rsidRPr="603E8256">
              <w:rPr>
                <w:rFonts w:cs="Arial"/>
                <w:sz w:val="18"/>
                <w:szCs w:val="18"/>
                <w:lang w:val="et-EE"/>
              </w:rPr>
              <w:t xml:space="preserve"> tasandi</w:t>
            </w:r>
            <w:r w:rsidR="005B1564">
              <w:rPr>
                <w:rFonts w:cs="Arial"/>
                <w:sz w:val="18"/>
                <w:szCs w:val="18"/>
                <w:lang w:val="et-EE"/>
              </w:rPr>
              <w:t>tel</w:t>
            </w:r>
            <w:r w:rsidR="0374E7BE" w:rsidRPr="603E8256">
              <w:rPr>
                <w:rFonts w:cs="Arial"/>
                <w:sz w:val="18"/>
                <w:szCs w:val="18"/>
                <w:lang w:val="et-EE"/>
              </w:rPr>
              <w:t xml:space="preserve"> </w:t>
            </w:r>
            <w:r w:rsidR="005B1564" w:rsidRPr="603E8256">
              <w:rPr>
                <w:rFonts w:cs="Arial"/>
                <w:sz w:val="18"/>
                <w:szCs w:val="18"/>
                <w:lang w:val="et-EE"/>
              </w:rPr>
              <w:t>püstitatud kliimaneutraalsele majandusele ülemineku saavutamisele</w:t>
            </w:r>
            <w:r w:rsidR="0374E7BE" w:rsidRPr="603E8256">
              <w:rPr>
                <w:rFonts w:cs="Arial"/>
                <w:sz w:val="18"/>
                <w:szCs w:val="18"/>
                <w:lang w:val="et-EE"/>
              </w:rPr>
              <w:t>.</w:t>
            </w:r>
            <w:r w:rsidR="005B1564">
              <w:rPr>
                <w:rFonts w:cs="Arial"/>
                <w:sz w:val="18"/>
                <w:szCs w:val="18"/>
                <w:lang w:val="et-EE"/>
              </w:rPr>
              <w:t xml:space="preserve"> </w:t>
            </w:r>
            <w:r w:rsidRPr="00841E11">
              <w:rPr>
                <w:rFonts w:cs="Arial"/>
                <w:sz w:val="18"/>
                <w:szCs w:val="18"/>
                <w:lang w:val="et-EE"/>
              </w:rPr>
              <w:t>Vt ka vastust punktile 3</w:t>
            </w:r>
            <w:r w:rsidR="00792D30" w:rsidRPr="00841E11">
              <w:rPr>
                <w:rFonts w:cs="Arial"/>
                <w:sz w:val="18"/>
                <w:szCs w:val="18"/>
                <w:lang w:val="et-EE"/>
              </w:rPr>
              <w:t>.1</w:t>
            </w:r>
            <w:r w:rsidRPr="00841E11">
              <w:rPr>
                <w:rFonts w:cs="Arial"/>
                <w:sz w:val="18"/>
                <w:szCs w:val="18"/>
                <w:lang w:val="et-EE"/>
              </w:rPr>
              <w:t>a.</w:t>
            </w:r>
            <w:r w:rsidR="00F56AAC">
              <w:rPr>
                <w:rFonts w:cs="Arial"/>
                <w:sz w:val="18"/>
                <w:szCs w:val="18"/>
                <w:lang w:val="et-EE"/>
              </w:rPr>
              <w:t xml:space="preserve"> </w:t>
            </w:r>
          </w:p>
          <w:p w14:paraId="7EC4490A" w14:textId="2D580ABE" w:rsidR="00E16F5F" w:rsidRPr="00FD5087" w:rsidRDefault="00792D30" w:rsidP="00792D30">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F56AAC">
              <w:rPr>
                <w:sz w:val="18"/>
                <w:szCs w:val="18"/>
                <w:lang w:val="et-EE"/>
              </w:rPr>
              <w:t>KMH aruannet ettepaneku 3.2 alusel ei täiendata</w:t>
            </w:r>
            <w:r w:rsidR="0050596F" w:rsidRPr="00F56AAC">
              <w:rPr>
                <w:sz w:val="18"/>
                <w:szCs w:val="18"/>
                <w:lang w:val="et-EE"/>
              </w:rPr>
              <w:t>, samuti ei tehta muid korrektuure</w:t>
            </w:r>
            <w:r w:rsidRPr="00F56AAC">
              <w:rPr>
                <w:sz w:val="18"/>
                <w:szCs w:val="18"/>
                <w:lang w:val="et-EE"/>
              </w:rPr>
              <w:t>.</w:t>
            </w:r>
          </w:p>
        </w:tc>
      </w:tr>
      <w:tr w:rsidR="00E16F5F" w:rsidRPr="00FD5087" w14:paraId="062A5EE2"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330DC18A" w14:textId="77777777" w:rsidR="00E16F5F" w:rsidRPr="00FD5087" w:rsidRDefault="005323E0" w:rsidP="00F134E0">
            <w:pPr>
              <w:spacing w:beforeLines="60" w:before="144"/>
              <w:rPr>
                <w:rFonts w:cs="Arial"/>
                <w:b/>
                <w:bCs w:val="0"/>
                <w:sz w:val="18"/>
                <w:szCs w:val="18"/>
                <w:lang w:val="et-EE"/>
              </w:rPr>
            </w:pPr>
            <w:r w:rsidRPr="00FD5087">
              <w:rPr>
                <w:rFonts w:cs="Arial"/>
                <w:b/>
                <w:bCs w:val="0"/>
                <w:sz w:val="18"/>
                <w:szCs w:val="18"/>
                <w:lang w:val="et-EE"/>
              </w:rPr>
              <w:lastRenderedPageBreak/>
              <w:t>3.3. Kliimamõju leevendavad meetmed</w:t>
            </w:r>
          </w:p>
          <w:p w14:paraId="32AA230A" w14:textId="3F389693" w:rsidR="005323E0" w:rsidRPr="00FD5087" w:rsidRDefault="00792D30" w:rsidP="005323E0">
            <w:pPr>
              <w:spacing w:beforeLines="60" w:before="144"/>
              <w:rPr>
                <w:rFonts w:cs="Arial"/>
                <w:bCs w:val="0"/>
                <w:sz w:val="18"/>
                <w:szCs w:val="18"/>
                <w:lang w:val="et-EE"/>
              </w:rPr>
            </w:pPr>
            <w:r>
              <w:rPr>
                <w:rFonts w:cs="Arial"/>
                <w:sz w:val="18"/>
                <w:szCs w:val="18"/>
                <w:lang w:val="et-EE"/>
              </w:rPr>
              <w:t xml:space="preserve">(3.3.a). </w:t>
            </w:r>
            <w:r w:rsidR="005323E0" w:rsidRPr="00FD5087">
              <w:rPr>
                <w:rFonts w:cs="Arial"/>
                <w:sz w:val="18"/>
                <w:szCs w:val="18"/>
                <w:lang w:val="et-EE"/>
              </w:rPr>
              <w:t xml:space="preserve">KMH aruandes on kirjeldatud erinevaid </w:t>
            </w:r>
            <w:r w:rsidR="005323E0" w:rsidRPr="00FD5087">
              <w:rPr>
                <w:rFonts w:cs="Arial"/>
                <w:sz w:val="18"/>
                <w:szCs w:val="18"/>
                <w:u w:val="single"/>
                <w:lang w:val="et-EE"/>
              </w:rPr>
              <w:t>KHG heite vähendamise meetmeid</w:t>
            </w:r>
            <w:r w:rsidR="005323E0" w:rsidRPr="00FD5087">
              <w:rPr>
                <w:rFonts w:cs="Arial"/>
                <w:sz w:val="18"/>
                <w:szCs w:val="18"/>
                <w:lang w:val="et-EE"/>
              </w:rPr>
              <w:t xml:space="preserve"> (lk 31).</w:t>
            </w:r>
            <w:r w:rsidR="005323E0" w:rsidRPr="00FD5087">
              <w:rPr>
                <w:rFonts w:cs="Arial"/>
                <w:bCs w:val="0"/>
                <w:sz w:val="18"/>
                <w:szCs w:val="18"/>
                <w:lang w:val="et-EE"/>
              </w:rPr>
              <w:t xml:space="preserve"> </w:t>
            </w:r>
            <w:r w:rsidR="005323E0" w:rsidRPr="00FD5087">
              <w:rPr>
                <w:rFonts w:cs="Arial"/>
                <w:sz w:val="18"/>
                <w:szCs w:val="18"/>
                <w:lang w:val="et-EE"/>
              </w:rPr>
              <w:t>Rakendades realistliku stsenaariumi korral kõiki leevendusmeetmeid, oleks Enefit280-2</w:t>
            </w:r>
            <w:r w:rsidR="005323E0" w:rsidRPr="00FD5087">
              <w:rPr>
                <w:rFonts w:cs="Arial"/>
                <w:bCs w:val="0"/>
                <w:sz w:val="18"/>
                <w:szCs w:val="18"/>
                <w:lang w:val="et-EE"/>
              </w:rPr>
              <w:t xml:space="preserve"> </w:t>
            </w:r>
            <w:r w:rsidR="005323E0" w:rsidRPr="00FD5087">
              <w:rPr>
                <w:rFonts w:cs="Arial"/>
                <w:sz w:val="18"/>
                <w:szCs w:val="18"/>
                <w:lang w:val="et-EE"/>
              </w:rPr>
              <w:t>seadme KHG heide aastal 2035 siiski 519 925,6 t aastas (lk 33 ja 35). See ületab</w:t>
            </w:r>
            <w:r w:rsidR="005323E0" w:rsidRPr="00FD5087">
              <w:rPr>
                <w:rFonts w:cs="Arial"/>
                <w:bCs w:val="0"/>
                <w:sz w:val="18"/>
                <w:szCs w:val="18"/>
                <w:lang w:val="et-EE"/>
              </w:rPr>
              <w:t xml:space="preserve"> </w:t>
            </w:r>
            <w:r w:rsidR="005323E0" w:rsidRPr="00FD5087">
              <w:rPr>
                <w:rFonts w:cs="Arial"/>
                <w:sz w:val="18"/>
                <w:szCs w:val="18"/>
                <w:lang w:val="et-EE"/>
              </w:rPr>
              <w:t>mitmekümnekordselt olulise KHG heite künnist 20 000 t aastas, samuti ületab see 5%</w:t>
            </w:r>
            <w:r w:rsidR="005323E0" w:rsidRPr="00FD5087">
              <w:rPr>
                <w:rFonts w:cs="Arial"/>
                <w:bCs w:val="0"/>
                <w:sz w:val="18"/>
                <w:szCs w:val="18"/>
                <w:lang w:val="et-EE"/>
              </w:rPr>
              <w:t xml:space="preserve"> </w:t>
            </w:r>
            <w:r w:rsidR="005323E0" w:rsidRPr="00FD5087">
              <w:rPr>
                <w:rFonts w:cs="Arial"/>
                <w:sz w:val="18"/>
                <w:szCs w:val="18"/>
                <w:lang w:val="et-EE"/>
              </w:rPr>
              <w:t>riiklikust eesmärgist (Eesti eesmärk on vähendada KHG heidet 2035. aastaks 8 miljoni</w:t>
            </w:r>
            <w:r w:rsidR="005323E0" w:rsidRPr="00FD5087">
              <w:rPr>
                <w:rFonts w:cs="Arial"/>
                <w:bCs w:val="0"/>
                <w:sz w:val="18"/>
                <w:szCs w:val="18"/>
                <w:lang w:val="et-EE"/>
              </w:rPr>
              <w:t xml:space="preserve"> </w:t>
            </w:r>
            <w:r w:rsidR="005323E0" w:rsidRPr="00FD5087">
              <w:rPr>
                <w:rFonts w:cs="Arial"/>
                <w:sz w:val="18"/>
                <w:szCs w:val="18"/>
                <w:lang w:val="et-EE"/>
              </w:rPr>
              <w:t xml:space="preserve">tonnini). Seega isegi </w:t>
            </w:r>
            <w:r w:rsidR="005323E0" w:rsidRPr="00FD5087">
              <w:rPr>
                <w:rFonts w:cs="Arial"/>
                <w:sz w:val="18"/>
                <w:szCs w:val="18"/>
                <w:u w:val="single"/>
                <w:lang w:val="et-EE"/>
              </w:rPr>
              <w:t>leevendamismeetmete rakendamisel</w:t>
            </w:r>
            <w:r w:rsidR="005323E0" w:rsidRPr="00FD5087">
              <w:rPr>
                <w:rFonts w:cs="Arial"/>
                <w:sz w:val="18"/>
                <w:szCs w:val="18"/>
                <w:lang w:val="et-EE"/>
              </w:rPr>
              <w:t xml:space="preserve"> kaasneb Enefit280-2 seadme</w:t>
            </w:r>
            <w:r w:rsidR="005323E0" w:rsidRPr="00FD5087">
              <w:rPr>
                <w:rFonts w:cs="Arial"/>
                <w:bCs w:val="0"/>
                <w:sz w:val="18"/>
                <w:szCs w:val="18"/>
                <w:lang w:val="et-EE"/>
              </w:rPr>
              <w:t xml:space="preserve"> </w:t>
            </w:r>
            <w:r w:rsidR="005323E0" w:rsidRPr="00FD5087">
              <w:rPr>
                <w:rFonts w:cs="Arial"/>
                <w:sz w:val="18"/>
                <w:szCs w:val="18"/>
                <w:lang w:val="et-EE"/>
              </w:rPr>
              <w:t>kasutuselevõtust (mis on plaanitud 2024. aastaks) kuni vähemalt 2035. aastani kindel oluline</w:t>
            </w:r>
            <w:r w:rsidR="005323E0" w:rsidRPr="00FD5087">
              <w:rPr>
                <w:rFonts w:cs="Arial"/>
                <w:bCs w:val="0"/>
                <w:sz w:val="18"/>
                <w:szCs w:val="18"/>
                <w:lang w:val="et-EE"/>
              </w:rPr>
              <w:t xml:space="preserve"> </w:t>
            </w:r>
            <w:r w:rsidR="005323E0" w:rsidRPr="00FD5087">
              <w:rPr>
                <w:rFonts w:cs="Arial"/>
                <w:sz w:val="18"/>
                <w:szCs w:val="18"/>
                <w:lang w:val="et-EE"/>
              </w:rPr>
              <w:t>mõju kliimamuutustele ehk keskkonnaoht, mida tuleb vältida. Keskkonnaohu realiseerimine</w:t>
            </w:r>
            <w:r w:rsidR="005323E0" w:rsidRPr="00FD5087">
              <w:rPr>
                <w:rFonts w:cs="Arial"/>
                <w:bCs w:val="0"/>
                <w:sz w:val="18"/>
                <w:szCs w:val="18"/>
                <w:lang w:val="et-EE"/>
              </w:rPr>
              <w:t xml:space="preserve"> </w:t>
            </w:r>
            <w:r w:rsidR="005323E0" w:rsidRPr="00FD5087">
              <w:rPr>
                <w:rFonts w:cs="Arial"/>
                <w:sz w:val="18"/>
                <w:szCs w:val="18"/>
                <w:lang w:val="et-EE"/>
              </w:rPr>
              <w:t>seadme käitamisel esimestel aastatel ning keskkonnaohu edasise realiseerimise vältimine</w:t>
            </w:r>
            <w:r w:rsidR="005323E0" w:rsidRPr="00FD5087">
              <w:rPr>
                <w:rFonts w:cs="Arial"/>
                <w:bCs w:val="0"/>
                <w:sz w:val="18"/>
                <w:szCs w:val="18"/>
                <w:lang w:val="et-EE"/>
              </w:rPr>
              <w:t xml:space="preserve"> </w:t>
            </w:r>
            <w:r w:rsidR="005323E0" w:rsidRPr="00FD5087">
              <w:rPr>
                <w:rFonts w:cs="Arial"/>
                <w:sz w:val="18"/>
                <w:szCs w:val="18"/>
                <w:lang w:val="et-EE"/>
              </w:rPr>
              <w:t>üksnes hilisematel aastatel on vastuolus vältimispõhimõttega (</w:t>
            </w:r>
            <w:proofErr w:type="spellStart"/>
            <w:r w:rsidR="005323E0" w:rsidRPr="00FD5087">
              <w:rPr>
                <w:rFonts w:cs="Arial"/>
                <w:sz w:val="18"/>
                <w:szCs w:val="18"/>
                <w:lang w:val="et-EE"/>
              </w:rPr>
              <w:t>KeÜS</w:t>
            </w:r>
            <w:proofErr w:type="spellEnd"/>
            <w:r w:rsidR="005323E0" w:rsidRPr="00FD5087">
              <w:rPr>
                <w:rFonts w:cs="Arial"/>
                <w:sz w:val="18"/>
                <w:szCs w:val="18"/>
                <w:lang w:val="et-EE"/>
              </w:rPr>
              <w:t xml:space="preserve"> § 10) ning seega</w:t>
            </w:r>
            <w:r w:rsidR="005323E0" w:rsidRPr="00FD5087">
              <w:rPr>
                <w:rFonts w:cs="Arial"/>
                <w:bCs w:val="0"/>
                <w:sz w:val="18"/>
                <w:szCs w:val="18"/>
                <w:lang w:val="et-EE"/>
              </w:rPr>
              <w:t xml:space="preserve"> </w:t>
            </w:r>
            <w:r w:rsidR="005323E0" w:rsidRPr="00FD5087">
              <w:rPr>
                <w:rFonts w:cs="Arial"/>
                <w:sz w:val="18"/>
                <w:szCs w:val="18"/>
                <w:lang w:val="et-EE"/>
              </w:rPr>
              <w:t>lubamatu.</w:t>
            </w:r>
          </w:p>
          <w:p w14:paraId="2CDC948F" w14:textId="571F8CDA" w:rsidR="004C1B7B" w:rsidRPr="00FD5087" w:rsidRDefault="00792D30" w:rsidP="004C1B7B">
            <w:pPr>
              <w:spacing w:beforeLines="60" w:before="144"/>
              <w:rPr>
                <w:rFonts w:cs="Arial"/>
                <w:sz w:val="18"/>
                <w:szCs w:val="18"/>
                <w:lang w:val="et-EE"/>
              </w:rPr>
            </w:pPr>
            <w:r>
              <w:rPr>
                <w:rFonts w:cs="Arial"/>
                <w:sz w:val="18"/>
                <w:szCs w:val="18"/>
                <w:lang w:val="et-EE"/>
              </w:rPr>
              <w:t xml:space="preserve">(3.3.b). </w:t>
            </w:r>
            <w:r w:rsidR="004C1B7B" w:rsidRPr="00FD5087">
              <w:rPr>
                <w:rFonts w:cs="Arial"/>
                <w:sz w:val="18"/>
                <w:szCs w:val="18"/>
                <w:lang w:val="et-EE"/>
              </w:rPr>
              <w:t xml:space="preserve">Lisaks tuleb tähele panna, et leevendamismeetmete hulgas on </w:t>
            </w:r>
            <w:r w:rsidR="004C1B7B" w:rsidRPr="00FD5087">
              <w:rPr>
                <w:rFonts w:cs="Arial"/>
                <w:sz w:val="18"/>
                <w:szCs w:val="18"/>
                <w:u w:val="single"/>
                <w:lang w:val="et-EE"/>
              </w:rPr>
              <w:t>metanoolitehase</w:t>
            </w:r>
            <w:r w:rsidR="004C1B7B" w:rsidRPr="00FD5087">
              <w:rPr>
                <w:rFonts w:cs="Arial"/>
                <w:sz w:val="18"/>
                <w:szCs w:val="18"/>
                <w:lang w:val="et-EE"/>
              </w:rPr>
              <w:t xml:space="preserve"> rajamine ja</w:t>
            </w:r>
            <w:r w:rsidR="004C1B7B" w:rsidRPr="00FD5087">
              <w:rPr>
                <w:rFonts w:cs="Arial"/>
                <w:bCs w:val="0"/>
                <w:sz w:val="18"/>
                <w:szCs w:val="18"/>
                <w:lang w:val="et-EE"/>
              </w:rPr>
              <w:t xml:space="preserve"> </w:t>
            </w:r>
            <w:r w:rsidR="004C1B7B" w:rsidRPr="00FD5087">
              <w:rPr>
                <w:rFonts w:cs="Arial"/>
                <w:sz w:val="18"/>
                <w:szCs w:val="18"/>
                <w:lang w:val="et-EE"/>
              </w:rPr>
              <w:t>käivitamine 2031. aastal (lk 31). Selleks vajalikku tehnoloogiat ei ole veel välja arendatud ning</w:t>
            </w:r>
            <w:r w:rsidR="004C1B7B" w:rsidRPr="00FD5087">
              <w:rPr>
                <w:rFonts w:cs="Arial"/>
                <w:bCs w:val="0"/>
                <w:sz w:val="18"/>
                <w:szCs w:val="18"/>
                <w:lang w:val="et-EE"/>
              </w:rPr>
              <w:t xml:space="preserve"> </w:t>
            </w:r>
            <w:r w:rsidR="004C1B7B" w:rsidRPr="00FD5087">
              <w:rPr>
                <w:rFonts w:cs="Arial"/>
                <w:sz w:val="18"/>
                <w:szCs w:val="18"/>
                <w:lang w:val="et-EE"/>
              </w:rPr>
              <w:t>selle teostatavus ja tasuvus on küsitavad (lk 40 ja 41). Praegu pole teada, kas</w:t>
            </w:r>
            <w:r w:rsidR="004C1B7B" w:rsidRPr="00FD5087">
              <w:rPr>
                <w:rFonts w:cs="Arial"/>
                <w:bCs w:val="0"/>
                <w:sz w:val="18"/>
                <w:szCs w:val="18"/>
                <w:lang w:val="et-EE"/>
              </w:rPr>
              <w:t xml:space="preserve"> </w:t>
            </w:r>
            <w:r w:rsidR="004C1B7B" w:rsidRPr="00FD5087">
              <w:rPr>
                <w:rFonts w:cs="Arial"/>
                <w:sz w:val="18"/>
                <w:szCs w:val="18"/>
                <w:lang w:val="et-EE"/>
              </w:rPr>
              <w:t xml:space="preserve">metanoolitehase rajamine on keskkonnakaitseliselt ja </w:t>
            </w:r>
            <w:proofErr w:type="spellStart"/>
            <w:r w:rsidR="004C1B7B" w:rsidRPr="00FD5087">
              <w:rPr>
                <w:rFonts w:cs="Arial"/>
                <w:sz w:val="18"/>
                <w:szCs w:val="18"/>
                <w:lang w:val="et-EE"/>
              </w:rPr>
              <w:t>sotsiaal-majanduslikku</w:t>
            </w:r>
            <w:proofErr w:type="spellEnd"/>
            <w:r w:rsidR="004C1B7B" w:rsidRPr="00FD5087">
              <w:rPr>
                <w:rFonts w:cs="Arial"/>
                <w:sz w:val="18"/>
                <w:szCs w:val="18"/>
                <w:lang w:val="et-EE"/>
              </w:rPr>
              <w:t xml:space="preserve"> mõju</w:t>
            </w:r>
            <w:r w:rsidR="004C1B7B" w:rsidRPr="00FD5087">
              <w:rPr>
                <w:rFonts w:cs="Arial"/>
                <w:bCs w:val="0"/>
                <w:sz w:val="18"/>
                <w:szCs w:val="18"/>
                <w:lang w:val="et-EE"/>
              </w:rPr>
              <w:t xml:space="preserve"> </w:t>
            </w:r>
            <w:r w:rsidR="004C1B7B" w:rsidRPr="00FD5087">
              <w:rPr>
                <w:rFonts w:cs="Arial"/>
                <w:sz w:val="18"/>
                <w:szCs w:val="18"/>
                <w:lang w:val="et-EE"/>
              </w:rPr>
              <w:t xml:space="preserve">arvestades võimalik, kuna see selgub alles metanoolitehase </w:t>
            </w:r>
            <w:r w:rsidR="004C1B7B" w:rsidRPr="00FD5087">
              <w:rPr>
                <w:rFonts w:cs="Arial"/>
                <w:bCs w:val="0"/>
                <w:sz w:val="18"/>
                <w:szCs w:val="18"/>
                <w:lang w:val="et-EE"/>
              </w:rPr>
              <w:t>k</w:t>
            </w:r>
            <w:r w:rsidR="004C1B7B" w:rsidRPr="00FD5087">
              <w:rPr>
                <w:rFonts w:cs="Arial"/>
                <w:sz w:val="18"/>
                <w:szCs w:val="18"/>
                <w:lang w:val="et-EE"/>
              </w:rPr>
              <w:t>eskkonnakompleksloa</w:t>
            </w:r>
            <w:r w:rsidR="004C1B7B" w:rsidRPr="00FD5087">
              <w:rPr>
                <w:rFonts w:cs="Arial"/>
                <w:bCs w:val="0"/>
                <w:sz w:val="18"/>
                <w:szCs w:val="18"/>
                <w:lang w:val="et-EE"/>
              </w:rPr>
              <w:t xml:space="preserve"> </w:t>
            </w:r>
            <w:r w:rsidR="004C1B7B" w:rsidRPr="00FD5087">
              <w:rPr>
                <w:rFonts w:cs="Arial"/>
                <w:sz w:val="18"/>
                <w:szCs w:val="18"/>
                <w:lang w:val="et-EE"/>
              </w:rPr>
              <w:t>menetluses (lk 31). Samuti ei ole kindel, et metanoolitehas kasvuhoonegaaside heidet</w:t>
            </w:r>
            <w:r w:rsidR="004C1B7B" w:rsidRPr="00FD5087">
              <w:rPr>
                <w:rFonts w:cs="Arial"/>
                <w:bCs w:val="0"/>
                <w:sz w:val="18"/>
                <w:szCs w:val="18"/>
                <w:lang w:val="et-EE"/>
              </w:rPr>
              <w:t xml:space="preserve"> </w:t>
            </w:r>
            <w:r w:rsidR="004C1B7B" w:rsidRPr="00FD5087">
              <w:rPr>
                <w:rFonts w:cs="Arial"/>
                <w:sz w:val="18"/>
                <w:szCs w:val="18"/>
                <w:lang w:val="et-EE"/>
              </w:rPr>
              <w:t xml:space="preserve">tegelikult vähendab, sest see vähendab üksnes Eesti statistikas kajastuvat </w:t>
            </w:r>
            <w:r w:rsidR="004C1B7B" w:rsidRPr="00FD5087">
              <w:rPr>
                <w:rFonts w:cs="Arial"/>
                <w:sz w:val="18"/>
                <w:szCs w:val="18"/>
                <w:lang w:val="et-EE"/>
              </w:rPr>
              <w:lastRenderedPageBreak/>
              <w:t>süsinikuheidet (lk</w:t>
            </w:r>
            <w:r w:rsidR="004C1B7B" w:rsidRPr="00FD5087">
              <w:rPr>
                <w:rFonts w:cs="Arial"/>
                <w:bCs w:val="0"/>
                <w:sz w:val="18"/>
                <w:szCs w:val="18"/>
                <w:lang w:val="et-EE"/>
              </w:rPr>
              <w:t xml:space="preserve"> </w:t>
            </w:r>
            <w:r w:rsidR="004C1B7B" w:rsidRPr="00FD5087">
              <w:rPr>
                <w:rFonts w:cs="Arial"/>
                <w:sz w:val="18"/>
                <w:szCs w:val="18"/>
                <w:lang w:val="et-EE"/>
              </w:rPr>
              <w:t>31). Seega võib metanoolitehase rajamisega toimuda süsinikuheite eksport, mis on vastuolus</w:t>
            </w:r>
            <w:r w:rsidR="004C1B7B" w:rsidRPr="00FD5087">
              <w:rPr>
                <w:rFonts w:cs="Arial"/>
                <w:bCs w:val="0"/>
                <w:sz w:val="18"/>
                <w:szCs w:val="18"/>
                <w:lang w:val="et-EE"/>
              </w:rPr>
              <w:t xml:space="preserve"> </w:t>
            </w:r>
            <w:r w:rsidR="004C1B7B" w:rsidRPr="00FD5087">
              <w:rPr>
                <w:rFonts w:cs="Arial"/>
                <w:sz w:val="18"/>
                <w:szCs w:val="18"/>
                <w:lang w:val="et-EE"/>
              </w:rPr>
              <w:t>rahvusvahelise kliimapoliitika eesmärkidega.</w:t>
            </w:r>
            <w:r w:rsidR="00DA3FE8" w:rsidRPr="00FD5087">
              <w:rPr>
                <w:rStyle w:val="FootnoteReference"/>
                <w:rFonts w:cs="Arial"/>
                <w:sz w:val="18"/>
                <w:szCs w:val="18"/>
                <w:lang w:val="et-EE"/>
              </w:rPr>
              <w:footnoteReference w:id="17"/>
            </w:r>
            <w:r w:rsidR="004C1B7B" w:rsidRPr="00FD5087">
              <w:rPr>
                <w:rFonts w:cs="Arial"/>
                <w:sz w:val="18"/>
                <w:szCs w:val="18"/>
                <w:lang w:val="et-EE"/>
              </w:rPr>
              <w:t xml:space="preserve"> </w:t>
            </w:r>
            <w:r w:rsidR="004C1B7B" w:rsidRPr="00FD5087">
              <w:rPr>
                <w:rFonts w:cs="Arial"/>
                <w:b/>
                <w:bCs w:val="0"/>
                <w:sz w:val="18"/>
                <w:szCs w:val="18"/>
                <w:lang w:val="et-EE"/>
              </w:rPr>
              <w:t>Eeltoodust tulenevalt palume anda KMH aruandes hinnang metanoolitehasega kaasneda võivale süsinikuheite ekspordile.</w:t>
            </w:r>
            <w:r w:rsidR="004C1B7B" w:rsidRPr="00FD5087">
              <w:rPr>
                <w:rFonts w:cs="Arial"/>
                <w:bCs w:val="0"/>
                <w:sz w:val="18"/>
                <w:szCs w:val="18"/>
                <w:lang w:val="et-EE"/>
              </w:rPr>
              <w:t xml:space="preserve"> </w:t>
            </w:r>
          </w:p>
          <w:p w14:paraId="4778B00A" w14:textId="3519FDEC" w:rsidR="001C7CFC" w:rsidRPr="00FD5087" w:rsidRDefault="00CB42B3" w:rsidP="001C7CFC">
            <w:pPr>
              <w:spacing w:beforeLines="60" w:before="144"/>
              <w:rPr>
                <w:rFonts w:cs="Arial"/>
                <w:sz w:val="18"/>
                <w:szCs w:val="18"/>
                <w:lang w:val="et-EE"/>
              </w:rPr>
            </w:pPr>
            <w:r>
              <w:rPr>
                <w:rFonts w:cs="Arial"/>
                <w:sz w:val="18"/>
                <w:szCs w:val="18"/>
                <w:lang w:val="et-EE"/>
              </w:rPr>
              <w:t xml:space="preserve">(3.3.c). </w:t>
            </w:r>
            <w:r w:rsidR="001C7CFC" w:rsidRPr="00FD5087">
              <w:rPr>
                <w:rFonts w:cs="Arial"/>
                <w:sz w:val="18"/>
                <w:szCs w:val="18"/>
                <w:lang w:val="et-EE"/>
              </w:rPr>
              <w:t xml:space="preserve">Ka on leevendamismeetmete hulgas välja toodud süsiniku püüdmise tehnoloogia (lk 31), mille puhul ei ole tehnoloogia rakendatavus kindel ja mille näol on Eesti Energia vaates “tegemist pigem erandliku lahendusega” (lk 18). Tabelis 4.5 (lk 34) esitatud andmete põhjal on Enefit280-2 seadme süsinikuheide isegi koos süsiniku püüdmise tehnoloogia rakendamisega 92 670 t/a. See ületab olulise KHG heite künnist 20 000 t/a ligi viiekordselt. Seega isegi </w:t>
            </w:r>
            <w:r w:rsidR="001C7CFC" w:rsidRPr="00FD5087">
              <w:rPr>
                <w:rFonts w:cs="Arial"/>
                <w:sz w:val="18"/>
                <w:szCs w:val="18"/>
                <w:u w:val="single"/>
                <w:lang w:val="et-EE"/>
              </w:rPr>
              <w:t>süsiniku püüdmise korral</w:t>
            </w:r>
            <w:r w:rsidR="001C7CFC" w:rsidRPr="00FD5087">
              <w:rPr>
                <w:rFonts w:cs="Arial"/>
                <w:sz w:val="18"/>
                <w:szCs w:val="18"/>
                <w:lang w:val="et-EE"/>
              </w:rPr>
              <w:t xml:space="preserve">, mille teostatavus on ebakindel, kaasneks Enefit280-2 seadme rajamisega kindlasti oluline keskkonnamõju ehk </w:t>
            </w:r>
            <w:r w:rsidR="001C7CFC" w:rsidRPr="00FD5087">
              <w:rPr>
                <w:rFonts w:cs="Arial"/>
                <w:sz w:val="18"/>
                <w:szCs w:val="18"/>
                <w:u w:val="single"/>
                <w:lang w:val="et-EE"/>
              </w:rPr>
              <w:t>keskkonnaoht</w:t>
            </w:r>
            <w:r w:rsidR="001C7CFC" w:rsidRPr="00FD5087">
              <w:rPr>
                <w:rFonts w:cs="Arial"/>
                <w:sz w:val="18"/>
                <w:szCs w:val="18"/>
                <w:lang w:val="et-EE"/>
              </w:rPr>
              <w:t>, mida tuleb vältida.</w:t>
            </w:r>
          </w:p>
          <w:p w14:paraId="0097E8B2" w14:textId="6EEE8256" w:rsidR="001C7CFC" w:rsidRPr="00FD5087" w:rsidRDefault="001C7CFC" w:rsidP="001C7CFC">
            <w:pPr>
              <w:spacing w:beforeLines="60" w:before="144"/>
              <w:rPr>
                <w:rFonts w:cs="Arial"/>
                <w:sz w:val="18"/>
                <w:szCs w:val="18"/>
                <w:lang w:val="et-EE"/>
              </w:rPr>
            </w:pPr>
            <w:r w:rsidRPr="00FD5087">
              <w:rPr>
                <w:rFonts w:cs="Arial"/>
                <w:sz w:val="18"/>
                <w:szCs w:val="18"/>
                <w:lang w:val="et-EE"/>
              </w:rPr>
              <w:t>Eeltoodust järeldub, et KMH aruandes ei ole ette nähtud piisavaid leevendusmeetmeid, mille</w:t>
            </w:r>
            <w:r w:rsidRPr="00FD5087">
              <w:rPr>
                <w:rFonts w:cs="Arial"/>
                <w:bCs w:val="0"/>
                <w:sz w:val="18"/>
                <w:szCs w:val="18"/>
                <w:lang w:val="et-EE"/>
              </w:rPr>
              <w:t xml:space="preserve"> </w:t>
            </w:r>
            <w:r w:rsidRPr="00FD5087">
              <w:rPr>
                <w:rFonts w:cs="Arial"/>
                <w:sz w:val="18"/>
                <w:szCs w:val="18"/>
                <w:lang w:val="et-EE"/>
              </w:rPr>
              <w:t>kasutuselevõtt välistaks õlitehasest lähtuva keskkonnaohu.</w:t>
            </w:r>
          </w:p>
        </w:tc>
        <w:tc>
          <w:tcPr>
            <w:tcW w:w="7377" w:type="dxa"/>
            <w:shd w:val="clear" w:color="auto" w:fill="FFFFFF" w:themeFill="background1"/>
            <w:vAlign w:val="top"/>
          </w:tcPr>
          <w:p w14:paraId="70ED33CC" w14:textId="62E76D8C" w:rsidR="00144482" w:rsidRPr="00FD5087" w:rsidRDefault="00792D30" w:rsidP="00C563C4">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lastRenderedPageBreak/>
              <w:t>(3.3.a).</w:t>
            </w:r>
            <w:r w:rsidR="00C563C4" w:rsidRPr="00FD5087">
              <w:rPr>
                <w:rFonts w:cs="Arial"/>
                <w:sz w:val="18"/>
                <w:szCs w:val="18"/>
                <w:lang w:val="et-EE"/>
              </w:rPr>
              <w:t xml:space="preserve"> Punkti 3.2 vastus kehtib ka antud juhul ehk leevendavaid meetmeid arvesse võttes.</w:t>
            </w:r>
          </w:p>
          <w:p w14:paraId="2C764E6A" w14:textId="19344657" w:rsidR="00144482" w:rsidRPr="00FD5087" w:rsidRDefault="00792D30" w:rsidP="00144482">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(3.3.b). </w:t>
            </w:r>
            <w:r w:rsidR="00144482" w:rsidRPr="603E8256">
              <w:rPr>
                <w:rFonts w:cs="Arial"/>
                <w:sz w:val="18"/>
                <w:szCs w:val="18"/>
                <w:lang w:val="et-EE"/>
              </w:rPr>
              <w:t xml:space="preserve">Metanoolitehasega kaasneda võivat </w:t>
            </w:r>
            <w:r w:rsidR="5E606D8A" w:rsidRPr="603E8256">
              <w:rPr>
                <w:rFonts w:cs="Arial"/>
                <w:sz w:val="18"/>
                <w:szCs w:val="18"/>
                <w:lang w:val="et-EE"/>
              </w:rPr>
              <w:t>“</w:t>
            </w:r>
            <w:r w:rsidR="00144482" w:rsidRPr="603E8256">
              <w:rPr>
                <w:rFonts w:cs="Arial"/>
                <w:sz w:val="18"/>
                <w:szCs w:val="18"/>
                <w:lang w:val="et-EE"/>
              </w:rPr>
              <w:t>süsinikuheite ekspor</w:t>
            </w:r>
            <w:r w:rsidR="0058349F" w:rsidRPr="603E8256">
              <w:rPr>
                <w:rFonts w:cs="Arial"/>
                <w:sz w:val="18"/>
                <w:szCs w:val="18"/>
                <w:lang w:val="et-EE"/>
              </w:rPr>
              <w:t>d</w:t>
            </w:r>
            <w:r w:rsidR="00144482" w:rsidRPr="603E8256">
              <w:rPr>
                <w:rFonts w:cs="Arial"/>
                <w:sz w:val="18"/>
                <w:szCs w:val="18"/>
                <w:lang w:val="et-EE"/>
              </w:rPr>
              <w:t>i</w:t>
            </w:r>
            <w:r w:rsidR="7694C5F0" w:rsidRPr="603E8256">
              <w:rPr>
                <w:rFonts w:cs="Arial"/>
                <w:sz w:val="18"/>
                <w:szCs w:val="18"/>
                <w:lang w:val="et-EE"/>
              </w:rPr>
              <w:t>”</w:t>
            </w:r>
            <w:r w:rsidR="00144482" w:rsidRPr="603E8256">
              <w:rPr>
                <w:rFonts w:cs="Arial"/>
                <w:sz w:val="18"/>
                <w:szCs w:val="18"/>
                <w:lang w:val="et-EE"/>
              </w:rPr>
              <w:t xml:space="preserve"> mõju ei ole võimalik käesoleval hetkel täpselt hinnata, kuna see sõltub paljuski tehnilistest detailidest, mille kohta pole hetkel piisvalt infot.</w:t>
            </w:r>
            <w:r w:rsidR="00CB42B3">
              <w:rPr>
                <w:rFonts w:cs="Arial"/>
                <w:sz w:val="18"/>
                <w:szCs w:val="18"/>
                <w:lang w:val="et-EE"/>
              </w:rPr>
              <w:t xml:space="preserve"> Märgime, et olete KMH aruandes esitatud väiteid, et metanooli tootmist ei ole veel projekteeritud-hinnatud ja ei ole teada veel terviklik tehnoloogia uttegaasil põhineva süngaasi tootmiseks, mille puhul on joonealuse märkusena toodud uttegaasidest väävli-ühendite eemaldamise keerukus, tõlgendanud tehnoloogia puudumisena ja projekti teostatavuse küsitavusena. Tehnoloogiad on olemas </w:t>
            </w:r>
            <w:r w:rsidR="00DD5C3A">
              <w:rPr>
                <w:rFonts w:cs="Arial"/>
                <w:sz w:val="18"/>
                <w:szCs w:val="18"/>
                <w:lang w:val="et-EE"/>
              </w:rPr>
              <w:t xml:space="preserve">kõikide ahela etappide kohta, sh </w:t>
            </w:r>
            <w:r w:rsidR="00CB42B3">
              <w:rPr>
                <w:rFonts w:cs="Arial"/>
                <w:sz w:val="18"/>
                <w:szCs w:val="18"/>
                <w:lang w:val="et-EE"/>
              </w:rPr>
              <w:t xml:space="preserve">süngaasi </w:t>
            </w:r>
            <w:proofErr w:type="spellStart"/>
            <w:r w:rsidR="00CB42B3">
              <w:rPr>
                <w:rFonts w:cs="Arial"/>
                <w:sz w:val="18"/>
                <w:szCs w:val="18"/>
                <w:lang w:val="et-EE"/>
              </w:rPr>
              <w:t>katalüütiline</w:t>
            </w:r>
            <w:proofErr w:type="spellEnd"/>
            <w:r w:rsidR="00CB42B3">
              <w:rPr>
                <w:rFonts w:cs="Arial"/>
                <w:sz w:val="18"/>
                <w:szCs w:val="18"/>
                <w:lang w:val="et-EE"/>
              </w:rPr>
              <w:t xml:space="preserve"> konversioon</w:t>
            </w:r>
            <w:r w:rsidR="00DD5C3A">
              <w:rPr>
                <w:rFonts w:cs="Arial"/>
                <w:sz w:val="18"/>
                <w:szCs w:val="18"/>
                <w:lang w:val="et-EE"/>
              </w:rPr>
              <w:t xml:space="preserve"> </w:t>
            </w:r>
            <w:r w:rsidR="00CB42B3">
              <w:rPr>
                <w:rFonts w:cs="Arial"/>
                <w:sz w:val="18"/>
                <w:szCs w:val="18"/>
                <w:lang w:val="et-EE"/>
              </w:rPr>
              <w:t xml:space="preserve">ja jõutud on ka arusaamisele, et </w:t>
            </w:r>
            <w:r w:rsidR="00CB42B3" w:rsidRPr="00CB42B3">
              <w:rPr>
                <w:rFonts w:cs="Arial"/>
                <w:sz w:val="18"/>
                <w:szCs w:val="18"/>
                <w:lang w:val="et-EE"/>
              </w:rPr>
              <w:t>otstarbekam</w:t>
            </w:r>
            <w:r w:rsidR="00CB42B3">
              <w:rPr>
                <w:rFonts w:cs="Arial"/>
                <w:sz w:val="18"/>
                <w:szCs w:val="18"/>
                <w:lang w:val="et-EE"/>
              </w:rPr>
              <w:t xml:space="preserve"> on</w:t>
            </w:r>
            <w:r w:rsidR="00CB42B3" w:rsidRPr="00CB42B3">
              <w:rPr>
                <w:rFonts w:cs="Arial"/>
                <w:sz w:val="18"/>
                <w:szCs w:val="18"/>
                <w:lang w:val="et-EE"/>
              </w:rPr>
              <w:t xml:space="preserve"> väävliühendite eemaldamine mitte uttegaasist, vaid </w:t>
            </w:r>
            <w:proofErr w:type="spellStart"/>
            <w:r w:rsidR="00CB42B3" w:rsidRPr="00CB42B3">
              <w:rPr>
                <w:rFonts w:cs="Arial"/>
                <w:sz w:val="18"/>
                <w:szCs w:val="18"/>
                <w:lang w:val="et-EE"/>
              </w:rPr>
              <w:t>väärindamisel</w:t>
            </w:r>
            <w:proofErr w:type="spellEnd"/>
            <w:r w:rsidR="00CB42B3" w:rsidRPr="00CB42B3">
              <w:rPr>
                <w:rFonts w:cs="Arial"/>
                <w:sz w:val="18"/>
                <w:szCs w:val="18"/>
                <w:lang w:val="et-EE"/>
              </w:rPr>
              <w:t xml:space="preserve"> saadavatest fraktsioonidest</w:t>
            </w:r>
            <w:r w:rsidR="00CB42B3">
              <w:rPr>
                <w:rFonts w:cs="Arial"/>
                <w:sz w:val="18"/>
                <w:szCs w:val="18"/>
                <w:lang w:val="et-EE"/>
              </w:rPr>
              <w:t xml:space="preserve"> (vt KMH aruande </w:t>
            </w:r>
            <w:proofErr w:type="spellStart"/>
            <w:r w:rsidR="00CB42B3">
              <w:rPr>
                <w:rFonts w:cs="Arial"/>
                <w:sz w:val="18"/>
                <w:szCs w:val="18"/>
                <w:lang w:val="et-EE"/>
              </w:rPr>
              <w:t>ptk</w:t>
            </w:r>
            <w:proofErr w:type="spellEnd"/>
            <w:r w:rsidR="00CB42B3">
              <w:rPr>
                <w:rFonts w:cs="Arial"/>
                <w:sz w:val="18"/>
                <w:szCs w:val="18"/>
                <w:lang w:val="et-EE"/>
              </w:rPr>
              <w:t xml:space="preserve"> 4.2.2),</w:t>
            </w:r>
            <w:r w:rsidR="00DD5C3A">
              <w:rPr>
                <w:rFonts w:cs="Arial"/>
                <w:sz w:val="18"/>
                <w:szCs w:val="18"/>
                <w:lang w:val="et-EE"/>
              </w:rPr>
              <w:t xml:space="preserve"> Erinevad etapid tuleb omavahel </w:t>
            </w:r>
            <w:r w:rsidR="00841E11">
              <w:rPr>
                <w:rFonts w:cs="Arial"/>
                <w:sz w:val="18"/>
                <w:szCs w:val="18"/>
                <w:lang w:val="et-EE"/>
              </w:rPr>
              <w:t>tehnoloogili</w:t>
            </w:r>
            <w:r w:rsidR="000B0B56">
              <w:rPr>
                <w:rFonts w:cs="Arial"/>
                <w:sz w:val="18"/>
                <w:szCs w:val="18"/>
                <w:lang w:val="et-EE"/>
              </w:rPr>
              <w:t>s</w:t>
            </w:r>
            <w:r w:rsidR="00841E11">
              <w:rPr>
                <w:rFonts w:cs="Arial"/>
                <w:sz w:val="18"/>
                <w:szCs w:val="18"/>
                <w:lang w:val="et-EE"/>
              </w:rPr>
              <w:t xml:space="preserve">e projekti väljatöötamisel </w:t>
            </w:r>
            <w:r w:rsidR="00DD5C3A">
              <w:rPr>
                <w:rFonts w:cs="Arial"/>
                <w:sz w:val="18"/>
                <w:szCs w:val="18"/>
                <w:lang w:val="et-EE"/>
              </w:rPr>
              <w:t>integreerida nii, et saadaks parim võimalik lahendus nii keskkonnakaitseliselt kui majanduslikult.</w:t>
            </w:r>
            <w:r w:rsidR="00144482" w:rsidRPr="603E8256">
              <w:rPr>
                <w:rFonts w:cs="Arial"/>
                <w:sz w:val="18"/>
                <w:szCs w:val="18"/>
                <w:lang w:val="et-EE"/>
              </w:rPr>
              <w:t xml:space="preserve"> Võimalik on anda üldine hinnang selle kohta, mida tähendaks metanoolitehase rajamine riiklikule statistikale, kus uttegaasi enam ei põletata ning sellest tulenev heide Eesti riiklikus statistikas enam ei kajastuks ning seda on KMH aruandes ka tehtud.</w:t>
            </w:r>
          </w:p>
          <w:p w14:paraId="1DD107D8" w14:textId="057B3A85" w:rsidR="00EA1DDC" w:rsidRPr="007A323F" w:rsidRDefault="00884255" w:rsidP="00144482">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7A323F">
              <w:rPr>
                <w:rFonts w:cs="Arial"/>
                <w:sz w:val="18"/>
                <w:szCs w:val="18"/>
                <w:lang w:val="et-EE"/>
              </w:rPr>
              <w:t xml:space="preserve">Kõikide </w:t>
            </w:r>
            <w:r w:rsidR="00CB42B3">
              <w:rPr>
                <w:rFonts w:cs="Arial"/>
                <w:sz w:val="18"/>
                <w:szCs w:val="18"/>
                <w:lang w:val="et-EE"/>
              </w:rPr>
              <w:t xml:space="preserve">leevendavate meetmetena toodud </w:t>
            </w:r>
            <w:r w:rsidRPr="007A323F">
              <w:rPr>
                <w:rFonts w:cs="Arial"/>
                <w:sz w:val="18"/>
                <w:szCs w:val="18"/>
                <w:lang w:val="et-EE"/>
              </w:rPr>
              <w:t xml:space="preserve">lisategevuste alus on </w:t>
            </w:r>
            <w:r w:rsidR="00BA26D1" w:rsidRPr="007A323F">
              <w:rPr>
                <w:rFonts w:cs="Arial"/>
                <w:sz w:val="18"/>
                <w:szCs w:val="18"/>
                <w:lang w:val="et-EE"/>
              </w:rPr>
              <w:t xml:space="preserve">vastavates protsesside tekkiva </w:t>
            </w:r>
            <w:r w:rsidRPr="007A323F">
              <w:rPr>
                <w:rFonts w:cs="Arial"/>
                <w:sz w:val="18"/>
                <w:szCs w:val="18"/>
                <w:lang w:val="et-EE"/>
              </w:rPr>
              <w:t>CO</w:t>
            </w:r>
            <w:r w:rsidRPr="00CB42B3">
              <w:rPr>
                <w:rFonts w:cs="Arial"/>
                <w:sz w:val="18"/>
                <w:szCs w:val="18"/>
                <w:vertAlign w:val="subscript"/>
                <w:lang w:val="et-EE"/>
              </w:rPr>
              <w:t xml:space="preserve">2 </w:t>
            </w:r>
            <w:proofErr w:type="spellStart"/>
            <w:r w:rsidRPr="007A323F">
              <w:rPr>
                <w:rFonts w:cs="Arial"/>
                <w:sz w:val="18"/>
                <w:szCs w:val="18"/>
                <w:lang w:val="et-EE"/>
              </w:rPr>
              <w:t>kinnipüüdmine</w:t>
            </w:r>
            <w:proofErr w:type="spellEnd"/>
            <w:r w:rsidRPr="007A323F">
              <w:rPr>
                <w:rFonts w:cs="Arial"/>
                <w:sz w:val="18"/>
                <w:szCs w:val="18"/>
                <w:lang w:val="et-EE"/>
              </w:rPr>
              <w:t xml:space="preserve"> (se</w:t>
            </w:r>
            <w:r w:rsidR="00CB42B3">
              <w:rPr>
                <w:rFonts w:cs="Arial"/>
                <w:sz w:val="18"/>
                <w:szCs w:val="18"/>
                <w:lang w:val="et-EE"/>
              </w:rPr>
              <w:t>ll</w:t>
            </w:r>
            <w:r w:rsidRPr="007A323F">
              <w:rPr>
                <w:rFonts w:cs="Arial"/>
                <w:sz w:val="18"/>
                <w:szCs w:val="18"/>
                <w:lang w:val="et-EE"/>
              </w:rPr>
              <w:t>e</w:t>
            </w:r>
            <w:r w:rsidR="00CB42B3">
              <w:rPr>
                <w:rFonts w:cs="Arial"/>
                <w:sz w:val="18"/>
                <w:szCs w:val="18"/>
                <w:lang w:val="et-EE"/>
              </w:rPr>
              <w:t>le</w:t>
            </w:r>
            <w:r w:rsidRPr="007A323F">
              <w:rPr>
                <w:rFonts w:cs="Arial"/>
                <w:sz w:val="18"/>
                <w:szCs w:val="18"/>
                <w:lang w:val="et-EE"/>
              </w:rPr>
              <w:t xml:space="preserve"> on aruandes </w:t>
            </w:r>
            <w:r w:rsidR="00CB42B3">
              <w:rPr>
                <w:rFonts w:cs="Arial"/>
                <w:sz w:val="18"/>
                <w:szCs w:val="18"/>
                <w:lang w:val="et-EE"/>
              </w:rPr>
              <w:t xml:space="preserve">viidatud </w:t>
            </w:r>
            <w:proofErr w:type="spellStart"/>
            <w:r w:rsidR="00CB42B3">
              <w:rPr>
                <w:rFonts w:cs="Arial"/>
                <w:sz w:val="18"/>
                <w:szCs w:val="18"/>
                <w:lang w:val="et-EE"/>
              </w:rPr>
              <w:t>ptk</w:t>
            </w:r>
            <w:proofErr w:type="spellEnd"/>
            <w:r w:rsidR="00CB42B3">
              <w:rPr>
                <w:rFonts w:cs="Arial"/>
                <w:sz w:val="18"/>
                <w:szCs w:val="18"/>
                <w:lang w:val="et-EE"/>
              </w:rPr>
              <w:t xml:space="preserve"> 4.1 oleva tabeli 4.5 märkustes)</w:t>
            </w:r>
            <w:r w:rsidRPr="007A323F">
              <w:rPr>
                <w:rFonts w:cs="Arial"/>
                <w:sz w:val="18"/>
                <w:szCs w:val="18"/>
                <w:lang w:val="et-EE"/>
              </w:rPr>
              <w:t>.</w:t>
            </w:r>
            <w:r w:rsidR="00CB42B3">
              <w:rPr>
                <w:rFonts w:cs="Arial"/>
                <w:sz w:val="18"/>
                <w:szCs w:val="18"/>
                <w:lang w:val="et-EE"/>
              </w:rPr>
              <w:t xml:space="preserve"> Kaasnevaid keskkonnamõjusid, sh kui suureks kujuneb CO</w:t>
            </w:r>
            <w:r w:rsidR="00CB42B3">
              <w:rPr>
                <w:rFonts w:cs="Arial"/>
                <w:sz w:val="18"/>
                <w:szCs w:val="18"/>
                <w:vertAlign w:val="subscript"/>
                <w:lang w:val="et-EE"/>
              </w:rPr>
              <w:t xml:space="preserve">2 </w:t>
            </w:r>
            <w:r w:rsidR="00CB42B3">
              <w:rPr>
                <w:rFonts w:cs="Arial"/>
                <w:sz w:val="18"/>
                <w:szCs w:val="18"/>
                <w:lang w:val="et-EE"/>
              </w:rPr>
              <w:t xml:space="preserve"> heite tegelik prognoos, saab hinnata v</w:t>
            </w:r>
            <w:r w:rsidRPr="007A323F">
              <w:rPr>
                <w:rFonts w:cs="Arial"/>
                <w:sz w:val="18"/>
                <w:szCs w:val="18"/>
                <w:lang w:val="et-EE"/>
              </w:rPr>
              <w:t>astava projektdokumentatsiooni koostamise</w:t>
            </w:r>
            <w:r w:rsidR="00CB42B3">
              <w:rPr>
                <w:rFonts w:cs="Arial"/>
                <w:sz w:val="18"/>
                <w:szCs w:val="18"/>
                <w:lang w:val="et-EE"/>
              </w:rPr>
              <w:t xml:space="preserve"> järgselt konkreetse projekti</w:t>
            </w:r>
            <w:r w:rsidRPr="007A323F">
              <w:rPr>
                <w:rFonts w:cs="Arial"/>
                <w:sz w:val="18"/>
                <w:szCs w:val="18"/>
                <w:lang w:val="et-EE"/>
              </w:rPr>
              <w:t xml:space="preserve"> KMH</w:t>
            </w:r>
            <w:r w:rsidR="00CB42B3">
              <w:rPr>
                <w:rFonts w:cs="Arial"/>
                <w:sz w:val="18"/>
                <w:szCs w:val="18"/>
                <w:lang w:val="et-EE"/>
              </w:rPr>
              <w:t>-</w:t>
            </w:r>
            <w:r w:rsidRPr="007A323F">
              <w:rPr>
                <w:rFonts w:cs="Arial"/>
                <w:sz w:val="18"/>
                <w:szCs w:val="18"/>
                <w:lang w:val="et-EE"/>
              </w:rPr>
              <w:t>s</w:t>
            </w:r>
            <w:r w:rsidR="003D2673">
              <w:rPr>
                <w:rFonts w:cs="Arial"/>
                <w:sz w:val="18"/>
                <w:szCs w:val="18"/>
                <w:lang w:val="et-EE"/>
              </w:rPr>
              <w:t xml:space="preserve">. </w:t>
            </w:r>
            <w:r w:rsidR="003D2673" w:rsidRPr="003D2673">
              <w:rPr>
                <w:rFonts w:cs="Arial"/>
                <w:sz w:val="18"/>
                <w:szCs w:val="18"/>
                <w:lang w:val="et-EE"/>
              </w:rPr>
              <w:t xml:space="preserve">Majandusliku tasuvuse saab paika panna siis, kui kogu protsesside ahela majandusaspektid ära hinnatud. Oluline on kõikide komponentide summa, ehk </w:t>
            </w:r>
            <w:r w:rsidR="003D2673" w:rsidRPr="003D2673">
              <w:rPr>
                <w:rFonts w:cs="Arial"/>
                <w:sz w:val="18"/>
                <w:szCs w:val="18"/>
                <w:lang w:val="et-EE"/>
              </w:rPr>
              <w:lastRenderedPageBreak/>
              <w:t xml:space="preserve">kogu ahel peab olema kasumis vastavalt omanikuootustele ja see on kõikide </w:t>
            </w:r>
            <w:proofErr w:type="spellStart"/>
            <w:r w:rsidR="003D2673" w:rsidRPr="003D2673">
              <w:rPr>
                <w:rFonts w:cs="Arial"/>
                <w:sz w:val="18"/>
                <w:szCs w:val="18"/>
                <w:lang w:val="et-EE"/>
              </w:rPr>
              <w:t>Auvere</w:t>
            </w:r>
            <w:proofErr w:type="spellEnd"/>
            <w:r w:rsidR="003D2673" w:rsidRPr="003D2673">
              <w:rPr>
                <w:rFonts w:cs="Arial"/>
                <w:sz w:val="18"/>
                <w:szCs w:val="18"/>
                <w:lang w:val="et-EE"/>
              </w:rPr>
              <w:t xml:space="preserve"> energiakompleksiga seotud tegevusete kavandamisel lähtealuseks</w:t>
            </w:r>
            <w:r w:rsidR="000B0B56">
              <w:rPr>
                <w:rFonts w:cs="Arial"/>
                <w:sz w:val="18"/>
                <w:szCs w:val="18"/>
                <w:lang w:val="et-EE"/>
              </w:rPr>
              <w:t>.</w:t>
            </w:r>
          </w:p>
          <w:p w14:paraId="71BFD6E1" w14:textId="5F3B1CA7" w:rsidR="00EA1DDC" w:rsidRPr="00FD5087" w:rsidRDefault="003D2673" w:rsidP="603E8256">
            <w:pPr>
              <w:pStyle w:val="Teksttabel"/>
              <w:spacing w:before="144"/>
              <w:cnfStyle w:val="000000100000" w:firstRow="0" w:lastRow="0" w:firstColumn="0" w:lastColumn="0" w:oddVBand="0" w:evenVBand="0" w:oddHBand="1" w:evenHBand="0" w:firstRowFirstColumn="0" w:firstRowLastColumn="0" w:lastRowFirstColumn="0" w:lastRowLastColumn="0"/>
              <w:rPr>
                <w:lang w:val="et-EE"/>
              </w:rPr>
            </w:pPr>
            <w:r>
              <w:rPr>
                <w:lang w:val="et-EE"/>
              </w:rPr>
              <w:t>(3.3.c).Märgime täiendavalt</w:t>
            </w:r>
            <w:r w:rsidRPr="603E8256">
              <w:rPr>
                <w:lang w:val="et-EE"/>
              </w:rPr>
              <w:t xml:space="preserve">, et süsiniku püüdmise poliitika ja sellega seonduvad rakendus- ning toetusmeetmed on </w:t>
            </w:r>
            <w:r>
              <w:rPr>
                <w:lang w:val="et-EE"/>
              </w:rPr>
              <w:t>E</w:t>
            </w:r>
            <w:r w:rsidRPr="603E8256">
              <w:rPr>
                <w:lang w:val="et-EE"/>
              </w:rPr>
              <w:t xml:space="preserve">uroopa </w:t>
            </w:r>
            <w:r>
              <w:rPr>
                <w:lang w:val="et-EE"/>
              </w:rPr>
              <w:t>K</w:t>
            </w:r>
            <w:r w:rsidRPr="603E8256">
              <w:rPr>
                <w:lang w:val="et-EE"/>
              </w:rPr>
              <w:t>omisjoni aktiivse tähelepanu all</w:t>
            </w:r>
            <w:r w:rsidR="603E8256" w:rsidRPr="603E8256">
              <w:rPr>
                <w:lang w:val="et-EE"/>
              </w:rPr>
              <w:t>:</w:t>
            </w:r>
            <w:r>
              <w:rPr>
                <w:lang w:val="et-EE"/>
              </w:rPr>
              <w:t xml:space="preserve"> </w:t>
            </w:r>
            <w:hyperlink r:id="rId12" w:anchor="eu-support" w:history="1">
              <w:r w:rsidR="603E8256" w:rsidRPr="603E8256">
                <w:rPr>
                  <w:rStyle w:val="Hyperlink"/>
                  <w:lang w:val="et-EE"/>
                </w:rPr>
                <w:t>https://energy.ec.europa.eu/topics/oil-gas-and-coal/carbon-capture-storage-and-utilisation_en#eu-support</w:t>
              </w:r>
            </w:hyperlink>
          </w:p>
          <w:p w14:paraId="2E206103" w14:textId="6B39D805" w:rsidR="00EA1DDC" w:rsidRDefault="003D2673" w:rsidP="603E8256">
            <w:pPr>
              <w:pStyle w:val="Teksttabel"/>
              <w:spacing w:before="144"/>
              <w:cnfStyle w:val="000000100000" w:firstRow="0" w:lastRow="0" w:firstColumn="0" w:lastColumn="0" w:oddVBand="0" w:evenVBand="0" w:oddHBand="1" w:evenHBand="0" w:firstRowFirstColumn="0" w:firstRowLastColumn="0" w:lastRowFirstColumn="0" w:lastRowLastColumn="0"/>
              <w:rPr>
                <w:lang w:val="et-EE"/>
              </w:rPr>
            </w:pPr>
            <w:r w:rsidRPr="603E8256">
              <w:rPr>
                <w:lang w:val="et-EE"/>
              </w:rPr>
              <w:t>Komisjoni poolt juba rakendatud ning tulevikus rakendatavate meetmete mõjul on põhjust olla optimistlik süsiniku püüdmise tehnoloogia arengu ja parema kättesaadavuse osas</w:t>
            </w:r>
            <w:r w:rsidR="7A3A71FB" w:rsidRPr="603E8256">
              <w:rPr>
                <w:lang w:val="et-EE"/>
              </w:rPr>
              <w:t>.</w:t>
            </w:r>
          </w:p>
          <w:p w14:paraId="17564689" w14:textId="6380BBA8" w:rsidR="007A323F" w:rsidRDefault="003D2673" w:rsidP="603E8256">
            <w:pPr>
              <w:pStyle w:val="Teksttabel"/>
              <w:spacing w:before="144"/>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Kokkuvõttes </w:t>
            </w:r>
            <w:r w:rsidR="007A323F">
              <w:rPr>
                <w:lang w:val="et-EE"/>
              </w:rPr>
              <w:t xml:space="preserve">olete jõudnud leevendavate meetmete </w:t>
            </w:r>
            <w:r w:rsidR="007A323F" w:rsidRPr="007A323F">
              <w:rPr>
                <w:lang w:val="et-EE"/>
              </w:rPr>
              <w:t xml:space="preserve">keskkonnakaitselise ja </w:t>
            </w:r>
            <w:proofErr w:type="spellStart"/>
            <w:r w:rsidR="007A323F" w:rsidRPr="007A323F">
              <w:rPr>
                <w:lang w:val="et-EE"/>
              </w:rPr>
              <w:t>sotsiaal-majandusliku</w:t>
            </w:r>
            <w:proofErr w:type="spellEnd"/>
            <w:r w:rsidR="007A323F" w:rsidRPr="007A323F">
              <w:rPr>
                <w:lang w:val="et-EE"/>
              </w:rPr>
              <w:t xml:space="preserve"> mõju </w:t>
            </w:r>
            <w:r w:rsidR="007A323F">
              <w:rPr>
                <w:lang w:val="et-EE"/>
              </w:rPr>
              <w:t>määramatuse kaudu järeldusele, et ei ole välja toodud piisavalt leevendusmeetmeid, et välistada õlitehasest lähtuv keskkonnaoht. Keskkonnaohu määratlemise osas anti selgitused punkti 3.2 vastuses. Täiendavalt märgime, et paraku e</w:t>
            </w:r>
            <w:r w:rsidR="007A323F" w:rsidRPr="007A323F">
              <w:rPr>
                <w:lang w:val="et-EE"/>
              </w:rPr>
              <w:t xml:space="preserve">i ole võimalik tuleviku meetmeid/projekte täpsemalt sõnastada. Nende </w:t>
            </w:r>
            <w:r w:rsidR="007A323F">
              <w:rPr>
                <w:lang w:val="et-EE"/>
              </w:rPr>
              <w:t>projekteerimisel</w:t>
            </w:r>
            <w:r w:rsidR="007A323F" w:rsidRPr="007A323F">
              <w:rPr>
                <w:lang w:val="et-EE"/>
              </w:rPr>
              <w:t xml:space="preserve"> arvestatakse, et </w:t>
            </w:r>
            <w:r w:rsidR="007A323F">
              <w:rPr>
                <w:lang w:val="et-EE"/>
              </w:rPr>
              <w:t xml:space="preserve">nad oleksid </w:t>
            </w:r>
            <w:r w:rsidR="007A323F" w:rsidRPr="007A323F">
              <w:rPr>
                <w:lang w:val="et-EE"/>
              </w:rPr>
              <w:t xml:space="preserve">majanduslikult mõtestatud ja </w:t>
            </w:r>
            <w:r w:rsidR="007A323F">
              <w:rPr>
                <w:lang w:val="et-EE"/>
              </w:rPr>
              <w:t xml:space="preserve">et nendega </w:t>
            </w:r>
            <w:r w:rsidR="007A323F" w:rsidRPr="007A323F">
              <w:rPr>
                <w:lang w:val="et-EE"/>
              </w:rPr>
              <w:t>ei kaasneks keskkonnaohtu ehk olulist negatiivset mõju</w:t>
            </w:r>
            <w:r w:rsidR="007A323F">
              <w:rPr>
                <w:lang w:val="et-EE"/>
              </w:rPr>
              <w:t xml:space="preserve">. </w:t>
            </w:r>
          </w:p>
          <w:p w14:paraId="5EC6A810" w14:textId="2141011E" w:rsidR="007A323F" w:rsidRPr="00FD5087" w:rsidRDefault="008F7A97" w:rsidP="003D2673">
            <w:pPr>
              <w:pStyle w:val="Teksttabel"/>
              <w:spacing w:before="144"/>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KMH aruannet </w:t>
            </w:r>
            <w:r w:rsidR="007A323F">
              <w:rPr>
                <w:lang w:val="et-EE"/>
              </w:rPr>
              <w:t xml:space="preserve">punkti 3.3. alusel </w:t>
            </w:r>
            <w:r>
              <w:rPr>
                <w:lang w:val="et-EE"/>
              </w:rPr>
              <w:t>ei täiendata</w:t>
            </w:r>
            <w:r w:rsidR="007A323F">
              <w:rPr>
                <w:lang w:val="et-EE"/>
              </w:rPr>
              <w:t>.</w:t>
            </w:r>
          </w:p>
        </w:tc>
      </w:tr>
      <w:tr w:rsidR="005602F1" w:rsidRPr="00FD5087" w14:paraId="5A69862D"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29153BDD" w14:textId="77777777" w:rsidR="005602F1" w:rsidRPr="00FD5087" w:rsidRDefault="008D2265" w:rsidP="00F134E0">
            <w:pPr>
              <w:spacing w:beforeLines="60" w:before="144"/>
              <w:rPr>
                <w:rFonts w:cs="Arial"/>
                <w:b/>
                <w:bCs w:val="0"/>
                <w:sz w:val="18"/>
                <w:szCs w:val="18"/>
                <w:lang w:val="et-EE"/>
              </w:rPr>
            </w:pPr>
            <w:r w:rsidRPr="00FD5087">
              <w:rPr>
                <w:rFonts w:cs="Arial"/>
                <w:b/>
                <w:bCs w:val="0"/>
                <w:sz w:val="18"/>
                <w:szCs w:val="18"/>
                <w:lang w:val="et-EE"/>
              </w:rPr>
              <w:lastRenderedPageBreak/>
              <w:t>3.4 Õlitehasega kaasnevate kliimariskide ja kliimakindluse hindamine</w:t>
            </w:r>
          </w:p>
          <w:p w14:paraId="3471E3AE" w14:textId="70078CD0" w:rsidR="008D2265" w:rsidRPr="00FD5087" w:rsidRDefault="008D2265" w:rsidP="008D2265">
            <w:pPr>
              <w:spacing w:beforeLines="60" w:before="144"/>
              <w:rPr>
                <w:rFonts w:cs="Arial"/>
                <w:sz w:val="18"/>
                <w:szCs w:val="18"/>
                <w:lang w:val="et-EE"/>
              </w:rPr>
            </w:pPr>
            <w:r w:rsidRPr="00FD5087">
              <w:rPr>
                <w:rFonts w:cs="Arial"/>
                <w:sz w:val="18"/>
                <w:szCs w:val="18"/>
                <w:lang w:val="et-EE"/>
              </w:rPr>
              <w:t>KMH programmis on kliimariskide hindamise raames viidatud Euroopa Komisjoni taristu</w:t>
            </w:r>
            <w:r w:rsidRPr="00FD5087">
              <w:rPr>
                <w:rFonts w:cs="Arial"/>
                <w:bCs w:val="0"/>
                <w:sz w:val="18"/>
                <w:szCs w:val="18"/>
                <w:lang w:val="et-EE"/>
              </w:rPr>
              <w:t xml:space="preserve"> </w:t>
            </w:r>
            <w:r w:rsidRPr="00FD5087">
              <w:rPr>
                <w:rFonts w:cs="Arial"/>
                <w:sz w:val="18"/>
                <w:szCs w:val="18"/>
                <w:lang w:val="et-EE"/>
              </w:rPr>
              <w:t>kliimakindluse hindamise juhisele ja IPCC 6. ülevaateraporti osale “</w:t>
            </w:r>
            <w:proofErr w:type="spellStart"/>
            <w:r w:rsidRPr="00FD5087">
              <w:rPr>
                <w:rFonts w:cs="Arial"/>
                <w:sz w:val="18"/>
                <w:szCs w:val="18"/>
                <w:lang w:val="et-EE"/>
              </w:rPr>
              <w:t>Impacts</w:t>
            </w:r>
            <w:proofErr w:type="spellEnd"/>
            <w:r w:rsidRPr="00FD5087">
              <w:rPr>
                <w:rFonts w:cs="Arial"/>
                <w:sz w:val="18"/>
                <w:szCs w:val="18"/>
                <w:lang w:val="et-EE"/>
              </w:rPr>
              <w:t xml:space="preserve">, </w:t>
            </w:r>
            <w:proofErr w:type="spellStart"/>
            <w:r w:rsidRPr="00FD5087">
              <w:rPr>
                <w:rFonts w:cs="Arial"/>
                <w:sz w:val="18"/>
                <w:szCs w:val="18"/>
                <w:lang w:val="et-EE"/>
              </w:rPr>
              <w:t>Adaptation</w:t>
            </w:r>
            <w:proofErr w:type="spellEnd"/>
            <w:r w:rsidRPr="00FD5087">
              <w:rPr>
                <w:rFonts w:cs="Arial"/>
                <w:sz w:val="18"/>
                <w:szCs w:val="18"/>
                <w:lang w:val="et-EE"/>
              </w:rPr>
              <w:t xml:space="preserve"> and</w:t>
            </w:r>
            <w:r w:rsidRPr="00FD5087">
              <w:rPr>
                <w:rFonts w:cs="Arial"/>
                <w:bCs w:val="0"/>
                <w:sz w:val="18"/>
                <w:szCs w:val="18"/>
                <w:lang w:val="et-EE"/>
              </w:rPr>
              <w:t xml:space="preserve"> </w:t>
            </w:r>
            <w:proofErr w:type="spellStart"/>
            <w:r w:rsidRPr="00FD5087">
              <w:rPr>
                <w:rFonts w:cs="Arial"/>
                <w:sz w:val="18"/>
                <w:szCs w:val="18"/>
                <w:lang w:val="et-EE"/>
              </w:rPr>
              <w:t>Vulnerability</w:t>
            </w:r>
            <w:proofErr w:type="spellEnd"/>
            <w:r w:rsidRPr="00FD5087">
              <w:rPr>
                <w:rFonts w:cs="Arial"/>
                <w:sz w:val="18"/>
                <w:szCs w:val="18"/>
                <w:lang w:val="et-EE"/>
              </w:rPr>
              <w:t>” (programmi lk 26). KMH aruandes neile allikatele aga ei ole viidatud ning</w:t>
            </w:r>
            <w:r w:rsidRPr="00FD5087">
              <w:rPr>
                <w:rFonts w:cs="Arial"/>
                <w:bCs w:val="0"/>
                <w:sz w:val="18"/>
                <w:szCs w:val="18"/>
                <w:lang w:val="et-EE"/>
              </w:rPr>
              <w:t xml:space="preserve"> </w:t>
            </w:r>
            <w:r w:rsidRPr="00FD5087">
              <w:rPr>
                <w:rFonts w:cs="Arial"/>
                <w:sz w:val="18"/>
                <w:szCs w:val="18"/>
                <w:lang w:val="et-EE"/>
              </w:rPr>
              <w:t>aruandest ei selgu, kas või kuidas on neid kui asjakohaseid juhiseid Enefit280-2 kliimakindluse</w:t>
            </w:r>
            <w:r w:rsidRPr="00FD5087">
              <w:rPr>
                <w:rFonts w:cs="Arial"/>
                <w:bCs w:val="0"/>
                <w:sz w:val="18"/>
                <w:szCs w:val="18"/>
                <w:lang w:val="et-EE"/>
              </w:rPr>
              <w:t xml:space="preserve"> </w:t>
            </w:r>
            <w:r w:rsidRPr="00FD5087">
              <w:rPr>
                <w:rFonts w:cs="Arial"/>
                <w:sz w:val="18"/>
                <w:szCs w:val="18"/>
                <w:lang w:val="et-EE"/>
              </w:rPr>
              <w:t>hindamisel arvesse võetud. Samas on need allikad kliimakindluse hindamisel asjakohased.</w:t>
            </w:r>
            <w:r w:rsidRPr="00FD5087">
              <w:rPr>
                <w:rFonts w:cs="Arial"/>
                <w:bCs w:val="0"/>
                <w:sz w:val="18"/>
                <w:szCs w:val="18"/>
                <w:lang w:val="et-EE"/>
              </w:rPr>
              <w:t xml:space="preserve"> </w:t>
            </w:r>
            <w:r w:rsidRPr="00FD5087">
              <w:rPr>
                <w:rFonts w:cs="Arial"/>
                <w:b/>
                <w:bCs w:val="0"/>
                <w:sz w:val="18"/>
                <w:szCs w:val="18"/>
                <w:lang w:val="et-EE"/>
              </w:rPr>
              <w:t xml:space="preserve">Sellepärast palume KMH aruandes kliimakindluse hindamisel viidata Euroopa Komisjoni taristu </w:t>
            </w:r>
            <w:r w:rsidRPr="00FD5087">
              <w:rPr>
                <w:rFonts w:cs="Arial"/>
                <w:b/>
                <w:bCs w:val="0"/>
                <w:sz w:val="18"/>
                <w:szCs w:val="18"/>
                <w:lang w:val="et-EE"/>
              </w:rPr>
              <w:lastRenderedPageBreak/>
              <w:t>kliimakindluse hindamise juhisele ja IPCC raportile, nagu programmis märgitud ning selgitada, kuidas on neid allikaid kliimakindluse hindamisel arvesse võetud.</w:t>
            </w:r>
          </w:p>
        </w:tc>
        <w:tc>
          <w:tcPr>
            <w:tcW w:w="7377" w:type="dxa"/>
            <w:shd w:val="clear" w:color="auto" w:fill="FFFFFF" w:themeFill="background1"/>
            <w:vAlign w:val="top"/>
          </w:tcPr>
          <w:p w14:paraId="5E7A59B5" w14:textId="2B7643F8" w:rsidR="00581132" w:rsidRDefault="00581132" w:rsidP="0014114D">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bookmarkStart w:id="5" w:name="_Hlk138166320"/>
            <w:r>
              <w:rPr>
                <w:rFonts w:cs="Arial"/>
                <w:sz w:val="18"/>
                <w:szCs w:val="18"/>
                <w:lang w:val="et-EE"/>
              </w:rPr>
              <w:lastRenderedPageBreak/>
              <w:t xml:space="preserve">KMH </w:t>
            </w:r>
            <w:r w:rsidR="00C44395">
              <w:rPr>
                <w:rFonts w:cs="Arial"/>
                <w:sz w:val="18"/>
                <w:szCs w:val="18"/>
                <w:lang w:val="et-EE"/>
              </w:rPr>
              <w:t>aruandes</w:t>
            </w:r>
            <w:r>
              <w:rPr>
                <w:rFonts w:cs="Arial"/>
                <w:sz w:val="18"/>
                <w:szCs w:val="18"/>
                <w:lang w:val="et-EE"/>
              </w:rPr>
              <w:t xml:space="preserve"> tuli hinnata mõju kliimakindlusele </w:t>
            </w:r>
            <w:r w:rsidRPr="00581132">
              <w:rPr>
                <w:rFonts w:cs="Arial"/>
                <w:sz w:val="18"/>
                <w:szCs w:val="18"/>
                <w:lang w:val="et-EE"/>
              </w:rPr>
              <w:t xml:space="preserve">võimalike kliimamuutuste tulevikustsenaariumide korral. </w:t>
            </w:r>
            <w:r>
              <w:rPr>
                <w:rFonts w:cs="Arial"/>
                <w:sz w:val="18"/>
                <w:szCs w:val="18"/>
                <w:lang w:val="et-EE"/>
              </w:rPr>
              <w:t>Lähtuvalt algatamise otsusest oli peamiseks ee</w:t>
            </w:r>
            <w:r w:rsidR="00C44395">
              <w:rPr>
                <w:rFonts w:cs="Arial"/>
                <w:sz w:val="18"/>
                <w:szCs w:val="18"/>
                <w:lang w:val="et-EE"/>
              </w:rPr>
              <w:t>s</w:t>
            </w:r>
            <w:r>
              <w:rPr>
                <w:rFonts w:cs="Arial"/>
                <w:sz w:val="18"/>
                <w:szCs w:val="18"/>
                <w:lang w:val="et-EE"/>
              </w:rPr>
              <w:t>märgiks a</w:t>
            </w:r>
            <w:r w:rsidRPr="00581132">
              <w:rPr>
                <w:rFonts w:cs="Arial"/>
                <w:sz w:val="18"/>
                <w:szCs w:val="18"/>
                <w:lang w:val="et-EE"/>
              </w:rPr>
              <w:t>n</w:t>
            </w:r>
            <w:r>
              <w:rPr>
                <w:rFonts w:cs="Arial"/>
                <w:sz w:val="18"/>
                <w:szCs w:val="18"/>
                <w:lang w:val="et-EE"/>
              </w:rPr>
              <w:t>da</w:t>
            </w:r>
            <w:r w:rsidRPr="00581132">
              <w:rPr>
                <w:rFonts w:cs="Arial"/>
                <w:sz w:val="18"/>
                <w:szCs w:val="18"/>
                <w:lang w:val="et-EE"/>
              </w:rPr>
              <w:t xml:space="preserve"> hinnang jahutusvee suublasse juhtimise stsenaariumi mõjudele kliima soojenemisel ja hinnata võimaliku leevendusmeetmena </w:t>
            </w:r>
            <w:proofErr w:type="spellStart"/>
            <w:r w:rsidRPr="00581132">
              <w:rPr>
                <w:rFonts w:cs="Arial"/>
                <w:sz w:val="18"/>
                <w:szCs w:val="18"/>
                <w:lang w:val="et-EE"/>
              </w:rPr>
              <w:t>gradiiri</w:t>
            </w:r>
            <w:proofErr w:type="spellEnd"/>
            <w:r w:rsidRPr="00581132">
              <w:rPr>
                <w:rFonts w:cs="Arial"/>
                <w:sz w:val="18"/>
                <w:szCs w:val="18"/>
                <w:lang w:val="et-EE"/>
              </w:rPr>
              <w:t xml:space="preserve"> ehk jahutustorni või muude alternatiivsete jahutussüsteemide kasutusele võttu ebasoodsa mõju vähendamiseks</w:t>
            </w:r>
            <w:bookmarkEnd w:id="5"/>
            <w:r>
              <w:rPr>
                <w:rFonts w:cs="Arial"/>
                <w:sz w:val="18"/>
                <w:szCs w:val="18"/>
                <w:lang w:val="et-EE"/>
              </w:rPr>
              <w:t>.</w:t>
            </w:r>
            <w:r w:rsidR="0014114D" w:rsidRPr="003D754A">
              <w:rPr>
                <w:lang w:val="et-EE"/>
              </w:rPr>
              <w:t xml:space="preserve"> </w:t>
            </w:r>
            <w:r>
              <w:rPr>
                <w:rFonts w:cs="Arial"/>
                <w:sz w:val="18"/>
                <w:szCs w:val="18"/>
                <w:lang w:val="et-EE"/>
              </w:rPr>
              <w:t>Hindamise tulemused on esitatud K</w:t>
            </w:r>
            <w:r w:rsidR="00C44395">
              <w:rPr>
                <w:rFonts w:cs="Arial"/>
                <w:sz w:val="18"/>
                <w:szCs w:val="18"/>
                <w:lang w:val="et-EE"/>
              </w:rPr>
              <w:t>M</w:t>
            </w:r>
            <w:r>
              <w:rPr>
                <w:rFonts w:cs="Arial"/>
                <w:sz w:val="18"/>
                <w:szCs w:val="18"/>
                <w:lang w:val="et-EE"/>
              </w:rPr>
              <w:t xml:space="preserve">H aruande </w:t>
            </w:r>
            <w:proofErr w:type="spellStart"/>
            <w:r>
              <w:rPr>
                <w:rFonts w:cs="Arial"/>
                <w:sz w:val="18"/>
                <w:szCs w:val="18"/>
                <w:lang w:val="et-EE"/>
              </w:rPr>
              <w:t>ptk</w:t>
            </w:r>
            <w:proofErr w:type="spellEnd"/>
            <w:r>
              <w:rPr>
                <w:rFonts w:cs="Arial"/>
                <w:sz w:val="18"/>
                <w:szCs w:val="18"/>
                <w:lang w:val="et-EE"/>
              </w:rPr>
              <w:t xml:space="preserve"> 4.5. </w:t>
            </w:r>
          </w:p>
          <w:p w14:paraId="10384987" w14:textId="42ACCB80" w:rsidR="008F7A97" w:rsidRPr="00FD5087" w:rsidRDefault="00581132" w:rsidP="0014114D">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bookmarkStart w:id="6" w:name="_Hlk138166351"/>
            <w:r w:rsidRPr="00581132">
              <w:rPr>
                <w:rFonts w:cs="Arial"/>
                <w:sz w:val="18"/>
                <w:szCs w:val="18"/>
                <w:lang w:val="et-EE"/>
              </w:rPr>
              <w:t>Euroopa Komisjoni taristu kliimakindluse hindamise juhise</w:t>
            </w:r>
            <w:r>
              <w:rPr>
                <w:rFonts w:cs="Arial"/>
                <w:sz w:val="18"/>
                <w:szCs w:val="18"/>
                <w:lang w:val="et-EE"/>
              </w:rPr>
              <w:t xml:space="preserve">d hõlmavad kliimamuutuste leevendamise, mis on seotud KHG heitega. Seda teemat on analüüsitud </w:t>
            </w:r>
            <w:proofErr w:type="spellStart"/>
            <w:r>
              <w:rPr>
                <w:rFonts w:cs="Arial"/>
                <w:sz w:val="18"/>
                <w:szCs w:val="18"/>
                <w:lang w:val="et-EE"/>
              </w:rPr>
              <w:t>ptk</w:t>
            </w:r>
            <w:proofErr w:type="spellEnd"/>
            <w:r>
              <w:rPr>
                <w:rFonts w:cs="Arial"/>
                <w:sz w:val="18"/>
                <w:szCs w:val="18"/>
                <w:lang w:val="et-EE"/>
              </w:rPr>
              <w:t xml:space="preserve"> 4.1. Teine pool hõlmab kliimamuutustega kohanemist, </w:t>
            </w:r>
            <w:r w:rsidR="0014114D">
              <w:rPr>
                <w:rFonts w:cs="Arial"/>
                <w:sz w:val="18"/>
                <w:szCs w:val="18"/>
                <w:lang w:val="et-EE"/>
              </w:rPr>
              <w:t>millest asjakohaseks osutus jahutusveega seotu. Muud teemad nagu</w:t>
            </w:r>
            <w:r>
              <w:rPr>
                <w:rFonts w:cs="Arial"/>
                <w:sz w:val="18"/>
                <w:szCs w:val="18"/>
                <w:lang w:val="et-EE"/>
              </w:rPr>
              <w:t xml:space="preserve"> </w:t>
            </w:r>
            <w:r w:rsidR="0014114D" w:rsidRPr="0014114D">
              <w:rPr>
                <w:rFonts w:cs="Arial"/>
                <w:sz w:val="18"/>
                <w:szCs w:val="18"/>
                <w:lang w:val="et-EE"/>
              </w:rPr>
              <w:t xml:space="preserve">äärmuslike </w:t>
            </w:r>
            <w:r w:rsidR="0014114D" w:rsidRPr="0014114D">
              <w:rPr>
                <w:rFonts w:cs="Arial"/>
                <w:sz w:val="18"/>
                <w:szCs w:val="18"/>
                <w:lang w:val="et-EE"/>
              </w:rPr>
              <w:lastRenderedPageBreak/>
              <w:t>ilmastikunähtuste sagedus</w:t>
            </w:r>
            <w:r w:rsidR="0014114D">
              <w:rPr>
                <w:rFonts w:cs="Arial"/>
                <w:sz w:val="18"/>
                <w:szCs w:val="18"/>
                <w:lang w:val="et-EE"/>
              </w:rPr>
              <w:t>e</w:t>
            </w:r>
            <w:r w:rsidR="0014114D" w:rsidRPr="0014114D">
              <w:rPr>
                <w:rFonts w:cs="Arial"/>
                <w:sz w:val="18"/>
                <w:szCs w:val="18"/>
                <w:lang w:val="et-EE"/>
              </w:rPr>
              <w:t xml:space="preserve"> ja intensiivsus</w:t>
            </w:r>
            <w:r w:rsidR="0014114D">
              <w:rPr>
                <w:rFonts w:cs="Arial"/>
                <w:sz w:val="18"/>
                <w:szCs w:val="18"/>
                <w:lang w:val="et-EE"/>
              </w:rPr>
              <w:t>e muutumine</w:t>
            </w:r>
            <w:r w:rsidR="0014114D" w:rsidRPr="0014114D">
              <w:rPr>
                <w:rFonts w:cs="Arial"/>
                <w:sz w:val="18"/>
                <w:szCs w:val="18"/>
                <w:lang w:val="et-EE"/>
              </w:rPr>
              <w:t xml:space="preserve"> kliimamuutuste tõttu</w:t>
            </w:r>
            <w:r w:rsidR="0014114D">
              <w:rPr>
                <w:rFonts w:cs="Arial"/>
                <w:sz w:val="18"/>
                <w:szCs w:val="18"/>
                <w:lang w:val="et-EE"/>
              </w:rPr>
              <w:t xml:space="preserve">, samuti merevee tõus kavandatavat tegevust ei mõjuta. </w:t>
            </w:r>
            <w:r w:rsidR="0014114D" w:rsidRPr="0014114D">
              <w:rPr>
                <w:rFonts w:cs="Arial"/>
                <w:sz w:val="18"/>
                <w:szCs w:val="18"/>
                <w:lang w:val="et-EE"/>
              </w:rPr>
              <w:t xml:space="preserve">Komisjoni taristuprojektide kliimakindluse hindamise juhend sätestab muuhulgas, et projekti elluviija ja ekspertide rühma esimeste ülesannete hulka kuulub otsuse tegemine selle kohta, milliseid kliimaprojektsioonide andmestikke kasutada kliima suhtes </w:t>
            </w:r>
            <w:proofErr w:type="spellStart"/>
            <w:r w:rsidR="0014114D" w:rsidRPr="0014114D">
              <w:rPr>
                <w:rFonts w:cs="Arial"/>
                <w:sz w:val="18"/>
                <w:szCs w:val="18"/>
                <w:lang w:val="et-EE"/>
              </w:rPr>
              <w:t>haavatavuse</w:t>
            </w:r>
            <w:proofErr w:type="spellEnd"/>
            <w:r w:rsidR="0014114D" w:rsidRPr="0014114D">
              <w:rPr>
                <w:rFonts w:cs="Arial"/>
                <w:sz w:val="18"/>
                <w:szCs w:val="18"/>
                <w:lang w:val="et-EE"/>
              </w:rPr>
              <w:t xml:space="preserve"> ja kliimariskide hindamiseks; see otsus tuleks dokumenteerida – seda ongi </w:t>
            </w:r>
            <w:r w:rsidR="00C44395">
              <w:rPr>
                <w:rFonts w:cs="Arial"/>
                <w:sz w:val="18"/>
                <w:szCs w:val="18"/>
                <w:lang w:val="et-EE"/>
              </w:rPr>
              <w:t>aruandega</w:t>
            </w:r>
            <w:r w:rsidR="0014114D" w:rsidRPr="0014114D">
              <w:rPr>
                <w:rFonts w:cs="Arial"/>
                <w:sz w:val="18"/>
                <w:szCs w:val="18"/>
                <w:lang w:val="et-EE"/>
              </w:rPr>
              <w:t xml:space="preserve"> tehtud</w:t>
            </w:r>
            <w:r w:rsidR="0014114D">
              <w:rPr>
                <w:rFonts w:cs="Arial"/>
                <w:sz w:val="18"/>
                <w:szCs w:val="18"/>
                <w:lang w:val="et-EE"/>
              </w:rPr>
              <w:t xml:space="preserve">, aga täiendatakse ka </w:t>
            </w:r>
            <w:proofErr w:type="spellStart"/>
            <w:r w:rsidR="0014114D">
              <w:rPr>
                <w:rFonts w:cs="Arial"/>
                <w:sz w:val="18"/>
                <w:szCs w:val="18"/>
                <w:lang w:val="et-EE"/>
              </w:rPr>
              <w:t>ptk</w:t>
            </w:r>
            <w:proofErr w:type="spellEnd"/>
            <w:r w:rsidR="0014114D">
              <w:rPr>
                <w:rFonts w:cs="Arial"/>
                <w:sz w:val="18"/>
                <w:szCs w:val="18"/>
                <w:lang w:val="et-EE"/>
              </w:rPr>
              <w:t xml:space="preserve"> 4.5 sissejuhatust. IPCC raport ei andnud Komisjoni juhistele täiendavat sisendit, mis oleks asjakohane kavandatava tegevuse kliimakindluse hindamise kontekstis</w:t>
            </w:r>
            <w:r w:rsidR="0014114D" w:rsidRPr="0014114D">
              <w:rPr>
                <w:rFonts w:cs="Arial"/>
                <w:sz w:val="18"/>
                <w:szCs w:val="18"/>
                <w:lang w:val="et-EE"/>
              </w:rPr>
              <w:t>.</w:t>
            </w:r>
            <w:bookmarkEnd w:id="6"/>
          </w:p>
        </w:tc>
      </w:tr>
      <w:tr w:rsidR="005602F1" w:rsidRPr="00FD5087" w14:paraId="245567B0"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34BD954B" w14:textId="77777777" w:rsidR="005602F1" w:rsidRPr="00FD5087" w:rsidRDefault="00066C2F" w:rsidP="00F134E0">
            <w:pPr>
              <w:spacing w:beforeLines="60" w:before="144"/>
              <w:rPr>
                <w:rFonts w:cs="Arial"/>
                <w:b/>
                <w:bCs w:val="0"/>
                <w:sz w:val="18"/>
                <w:szCs w:val="18"/>
                <w:lang w:val="et-EE"/>
              </w:rPr>
            </w:pPr>
            <w:r w:rsidRPr="00FD5087">
              <w:rPr>
                <w:rFonts w:cs="Arial"/>
                <w:b/>
                <w:bCs w:val="0"/>
                <w:sz w:val="18"/>
                <w:szCs w:val="18"/>
                <w:lang w:val="et-EE"/>
              </w:rPr>
              <w:lastRenderedPageBreak/>
              <w:t>3.5 Võimaliku avariiolukorra mõju hindamine</w:t>
            </w:r>
          </w:p>
          <w:p w14:paraId="1D4D46CA" w14:textId="25DD9D61" w:rsidR="00066C2F" w:rsidRPr="00FD5087" w:rsidRDefault="00066C2F" w:rsidP="00066C2F">
            <w:pPr>
              <w:spacing w:beforeLines="60" w:before="144"/>
              <w:rPr>
                <w:rFonts w:cs="Arial"/>
                <w:sz w:val="18"/>
                <w:szCs w:val="18"/>
                <w:lang w:val="et-EE"/>
              </w:rPr>
            </w:pPr>
            <w:r w:rsidRPr="00FD5087">
              <w:rPr>
                <w:rFonts w:cs="Arial"/>
                <w:sz w:val="18"/>
                <w:szCs w:val="18"/>
                <w:lang w:val="et-EE"/>
              </w:rPr>
              <w:t>Aruandes on öeldud: “Enefit280-2 seadme lisamisega kaasneb võimalus avariiolukorraga</w:t>
            </w:r>
            <w:r w:rsidRPr="00FD5087">
              <w:rPr>
                <w:rFonts w:cs="Arial"/>
                <w:bCs w:val="0"/>
                <w:sz w:val="18"/>
                <w:szCs w:val="18"/>
                <w:lang w:val="et-EE"/>
              </w:rPr>
              <w:t xml:space="preserve"> </w:t>
            </w:r>
            <w:r w:rsidRPr="00FD5087">
              <w:rPr>
                <w:rFonts w:cs="Arial"/>
                <w:sz w:val="18"/>
                <w:szCs w:val="18"/>
                <w:lang w:val="et-EE"/>
              </w:rPr>
              <w:t xml:space="preserve">kaasnevate õhusaasteainete heitkoguste suurenemiseks. Samas ei teki </w:t>
            </w:r>
            <w:r w:rsidRPr="00FD5087">
              <w:rPr>
                <w:rFonts w:cs="Arial"/>
                <w:sz w:val="18"/>
                <w:szCs w:val="18"/>
                <w:u w:val="single"/>
                <w:lang w:val="et-EE"/>
              </w:rPr>
              <w:t>avariid kahes</w:t>
            </w:r>
            <w:r w:rsidRPr="00FD5087">
              <w:rPr>
                <w:rFonts w:cs="Arial"/>
                <w:bCs w:val="0"/>
                <w:sz w:val="18"/>
                <w:szCs w:val="18"/>
                <w:u w:val="single"/>
                <w:lang w:val="et-EE"/>
              </w:rPr>
              <w:t xml:space="preserve"> </w:t>
            </w:r>
            <w:r w:rsidRPr="00FD5087">
              <w:rPr>
                <w:rFonts w:cs="Arial"/>
                <w:sz w:val="18"/>
                <w:szCs w:val="18"/>
                <w:u w:val="single"/>
                <w:lang w:val="et-EE"/>
              </w:rPr>
              <w:t>seadmes üheaegselt</w:t>
            </w:r>
            <w:r w:rsidRPr="00FD5087">
              <w:rPr>
                <w:rFonts w:cs="Arial"/>
                <w:sz w:val="18"/>
                <w:szCs w:val="18"/>
                <w:lang w:val="et-EE"/>
              </w:rPr>
              <w:t xml:space="preserve"> /…/. Seetõttu suurenevad mitte hetkelised heitkogused, vaid aastased</w:t>
            </w:r>
            <w:r w:rsidRPr="00FD5087">
              <w:rPr>
                <w:rFonts w:cs="Arial"/>
                <w:bCs w:val="0"/>
                <w:sz w:val="18"/>
                <w:szCs w:val="18"/>
                <w:lang w:val="et-EE"/>
              </w:rPr>
              <w:t xml:space="preserve"> </w:t>
            </w:r>
            <w:r w:rsidRPr="00FD5087">
              <w:rPr>
                <w:rFonts w:cs="Arial"/>
                <w:sz w:val="18"/>
                <w:szCs w:val="18"/>
                <w:lang w:val="et-EE"/>
              </w:rPr>
              <w:t xml:space="preserve">heitkogused.” (lk 85) </w:t>
            </w:r>
            <w:r w:rsidRPr="00FD5087">
              <w:rPr>
                <w:rFonts w:cs="Arial"/>
                <w:b/>
                <w:bCs w:val="0"/>
                <w:sz w:val="18"/>
                <w:szCs w:val="18"/>
                <w:lang w:val="et-EE"/>
              </w:rPr>
              <w:t>Palume selgitada, kuidas on välistatud kahes seadmes üheaegselt avarii tekkimine. Kui see ei ole välistatud, siis palume kustutada väide, et avariid ei teki kahes seadmes üheaegselt, ning hinnata hetkelise heitkoguse suurenemist olukorras, kui kahes seadmes tekib üheaegselt avarii.</w:t>
            </w:r>
          </w:p>
        </w:tc>
        <w:tc>
          <w:tcPr>
            <w:tcW w:w="7377" w:type="dxa"/>
            <w:shd w:val="clear" w:color="auto" w:fill="FFFFFF" w:themeFill="background1"/>
            <w:vAlign w:val="top"/>
          </w:tcPr>
          <w:p w14:paraId="0819D9AE" w14:textId="32D23EDA" w:rsidR="0014114D" w:rsidRDefault="00884255" w:rsidP="000057BA">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FD5087">
              <w:rPr>
                <w:rFonts w:cs="Arial"/>
                <w:sz w:val="18"/>
                <w:szCs w:val="18"/>
                <w:lang w:val="et-EE"/>
              </w:rPr>
              <w:t>Seni</w:t>
            </w:r>
            <w:r w:rsidR="00C44395">
              <w:rPr>
                <w:rFonts w:cs="Arial"/>
                <w:sz w:val="18"/>
                <w:szCs w:val="18"/>
                <w:lang w:val="et-EE"/>
              </w:rPr>
              <w:t>s</w:t>
            </w:r>
            <w:r w:rsidRPr="00FD5087">
              <w:rPr>
                <w:rFonts w:cs="Arial"/>
                <w:sz w:val="18"/>
                <w:szCs w:val="18"/>
                <w:lang w:val="et-EE"/>
              </w:rPr>
              <w:t>e kasutusstatistika alusel ei ole olnud neid juhte</w:t>
            </w:r>
            <w:r w:rsidR="0014114D">
              <w:rPr>
                <w:rFonts w:cs="Arial"/>
                <w:sz w:val="18"/>
                <w:szCs w:val="18"/>
                <w:lang w:val="et-EE"/>
              </w:rPr>
              <w:t xml:space="preserve">, kus mitu seadet satuksid üheaegselt </w:t>
            </w:r>
            <w:proofErr w:type="spellStart"/>
            <w:r w:rsidR="0014114D">
              <w:rPr>
                <w:rFonts w:cs="Arial"/>
                <w:sz w:val="18"/>
                <w:szCs w:val="18"/>
                <w:lang w:val="et-EE"/>
              </w:rPr>
              <w:t>äkkheitesse</w:t>
            </w:r>
            <w:proofErr w:type="spellEnd"/>
            <w:r w:rsidRPr="00FD5087">
              <w:rPr>
                <w:rFonts w:cs="Arial"/>
                <w:sz w:val="18"/>
                <w:szCs w:val="18"/>
                <w:lang w:val="et-EE"/>
              </w:rPr>
              <w:t>.</w:t>
            </w:r>
            <w:r w:rsidR="0014114D">
              <w:rPr>
                <w:rFonts w:cs="Arial"/>
                <w:sz w:val="18"/>
                <w:szCs w:val="18"/>
                <w:lang w:val="et-EE"/>
              </w:rPr>
              <w:t xml:space="preserve"> </w:t>
            </w:r>
            <w:r w:rsidR="0041262E">
              <w:rPr>
                <w:rFonts w:cs="Arial"/>
                <w:sz w:val="18"/>
                <w:szCs w:val="18"/>
                <w:lang w:val="et-EE"/>
              </w:rPr>
              <w:t>Kõikide Enefit Power tootmisseadmete, sh. ka Enefit seadmete</w:t>
            </w:r>
            <w:r w:rsidR="00E626C4">
              <w:rPr>
                <w:rFonts w:cs="Arial"/>
                <w:sz w:val="18"/>
                <w:szCs w:val="18"/>
                <w:lang w:val="et-EE"/>
              </w:rPr>
              <w:t>, h</w:t>
            </w:r>
            <w:r w:rsidRPr="00FD5087">
              <w:rPr>
                <w:rFonts w:cs="Arial"/>
                <w:sz w:val="18"/>
                <w:szCs w:val="18"/>
                <w:lang w:val="et-EE"/>
              </w:rPr>
              <w:t>oolduste ajakava</w:t>
            </w:r>
            <w:r w:rsidR="00E626C4">
              <w:rPr>
                <w:rFonts w:cs="Arial"/>
                <w:sz w:val="18"/>
                <w:szCs w:val="18"/>
                <w:lang w:val="et-EE"/>
              </w:rPr>
              <w:t xml:space="preserve"> on</w:t>
            </w:r>
            <w:r w:rsidRPr="00FD5087">
              <w:rPr>
                <w:rFonts w:cs="Arial"/>
                <w:sz w:val="18"/>
                <w:szCs w:val="18"/>
                <w:lang w:val="et-EE"/>
              </w:rPr>
              <w:t xml:space="preserve"> planeeritud ennetava loogika alusel, et seadmed töötaksid stabiilselt </w:t>
            </w:r>
            <w:r w:rsidR="009921C2">
              <w:rPr>
                <w:rFonts w:cs="Arial"/>
                <w:sz w:val="18"/>
                <w:szCs w:val="18"/>
                <w:lang w:val="et-EE"/>
              </w:rPr>
              <w:t xml:space="preserve">ning </w:t>
            </w:r>
            <w:proofErr w:type="spellStart"/>
            <w:r w:rsidR="006B2654">
              <w:rPr>
                <w:rFonts w:cs="Arial"/>
                <w:sz w:val="18"/>
                <w:szCs w:val="18"/>
                <w:lang w:val="et-EE"/>
              </w:rPr>
              <w:t>avari</w:t>
            </w:r>
            <w:r w:rsidR="00E71FE1">
              <w:rPr>
                <w:rFonts w:cs="Arial"/>
                <w:sz w:val="18"/>
                <w:szCs w:val="18"/>
                <w:lang w:val="et-EE"/>
              </w:rPr>
              <w:t>i</w:t>
            </w:r>
            <w:r w:rsidR="006B2654">
              <w:rPr>
                <w:rFonts w:cs="Arial"/>
                <w:sz w:val="18"/>
                <w:szCs w:val="18"/>
                <w:lang w:val="et-EE"/>
              </w:rPr>
              <w:t>lisi</w:t>
            </w:r>
            <w:proofErr w:type="spellEnd"/>
            <w:r w:rsidR="006B2654">
              <w:rPr>
                <w:rFonts w:cs="Arial"/>
                <w:sz w:val="18"/>
                <w:szCs w:val="18"/>
                <w:lang w:val="et-EE"/>
              </w:rPr>
              <w:t xml:space="preserve"> </w:t>
            </w:r>
            <w:proofErr w:type="spellStart"/>
            <w:r w:rsidRPr="00FD5087">
              <w:rPr>
                <w:rFonts w:cs="Arial"/>
                <w:sz w:val="18"/>
                <w:szCs w:val="18"/>
                <w:lang w:val="et-EE"/>
              </w:rPr>
              <w:t>äkkseisaku</w:t>
            </w:r>
            <w:r w:rsidR="006B2654">
              <w:rPr>
                <w:rFonts w:cs="Arial"/>
                <w:sz w:val="18"/>
                <w:szCs w:val="18"/>
                <w:lang w:val="et-EE"/>
              </w:rPr>
              <w:t>id</w:t>
            </w:r>
            <w:proofErr w:type="spellEnd"/>
            <w:r w:rsidRPr="00FD5087">
              <w:rPr>
                <w:rFonts w:cs="Arial"/>
                <w:sz w:val="18"/>
                <w:szCs w:val="18"/>
                <w:lang w:val="et-EE"/>
              </w:rPr>
              <w:t xml:space="preserve"> ei tekiks</w:t>
            </w:r>
            <w:r w:rsidR="006B2654">
              <w:rPr>
                <w:rFonts w:cs="Arial"/>
                <w:sz w:val="18"/>
                <w:szCs w:val="18"/>
                <w:lang w:val="et-EE"/>
              </w:rPr>
              <w:t>.</w:t>
            </w:r>
            <w:r w:rsidR="00D732E5">
              <w:rPr>
                <w:rFonts w:cs="Arial"/>
                <w:sz w:val="18"/>
                <w:szCs w:val="18"/>
                <w:lang w:val="et-EE"/>
              </w:rPr>
              <w:t xml:space="preserve"> Võimalike </w:t>
            </w:r>
            <w:r w:rsidR="00CF104E">
              <w:rPr>
                <w:rFonts w:cs="Arial"/>
                <w:sz w:val="18"/>
                <w:szCs w:val="18"/>
                <w:lang w:val="et-EE"/>
              </w:rPr>
              <w:t xml:space="preserve">kõrvalekallete </w:t>
            </w:r>
            <w:r w:rsidR="00F819F3">
              <w:rPr>
                <w:rFonts w:cs="Arial"/>
                <w:sz w:val="18"/>
                <w:szCs w:val="18"/>
                <w:lang w:val="et-EE"/>
              </w:rPr>
              <w:t>puhul tavapärastest töörežiimidest on olemas protseduurid seadme seiskamiseks, millega samuti välditakse avariiliste olukordad</w:t>
            </w:r>
            <w:r w:rsidR="00EA5C8A">
              <w:rPr>
                <w:rFonts w:cs="Arial"/>
                <w:sz w:val="18"/>
                <w:szCs w:val="18"/>
                <w:lang w:val="et-EE"/>
              </w:rPr>
              <w:t>e</w:t>
            </w:r>
            <w:r w:rsidR="00F819F3">
              <w:rPr>
                <w:rFonts w:cs="Arial"/>
                <w:sz w:val="18"/>
                <w:szCs w:val="18"/>
                <w:lang w:val="et-EE"/>
              </w:rPr>
              <w:t xml:space="preserve"> teket</w:t>
            </w:r>
            <w:r w:rsidR="00EA5C8A">
              <w:rPr>
                <w:rFonts w:cs="Arial"/>
                <w:sz w:val="18"/>
                <w:szCs w:val="18"/>
                <w:lang w:val="et-EE"/>
              </w:rPr>
              <w:t xml:space="preserve"> ja sellest tulenevat tavapärasest kõrgemat saasteainete heidet atmosfääri</w:t>
            </w:r>
            <w:r w:rsidR="00F819F3">
              <w:rPr>
                <w:rFonts w:cs="Arial"/>
                <w:sz w:val="18"/>
                <w:szCs w:val="18"/>
                <w:lang w:val="et-EE"/>
              </w:rPr>
              <w:t>.</w:t>
            </w:r>
            <w:r w:rsidR="006B2654">
              <w:rPr>
                <w:rFonts w:cs="Arial"/>
                <w:sz w:val="18"/>
                <w:szCs w:val="18"/>
                <w:lang w:val="et-EE"/>
              </w:rPr>
              <w:t xml:space="preserve"> </w:t>
            </w:r>
            <w:r w:rsidR="0014114D">
              <w:rPr>
                <w:rFonts w:cs="Arial"/>
                <w:sz w:val="18"/>
                <w:szCs w:val="18"/>
                <w:lang w:val="et-EE"/>
              </w:rPr>
              <w:t>Kui seadmete tööparameetrite näidud hakkavad optimaalsest kõrvale kalduma ja  ilmneb seiskamise vajadus, toimub v</w:t>
            </w:r>
            <w:r w:rsidR="008F7A97">
              <w:rPr>
                <w:rFonts w:cs="Arial"/>
                <w:sz w:val="18"/>
                <w:szCs w:val="18"/>
                <w:lang w:val="et-EE"/>
              </w:rPr>
              <w:t>astavalt reglemendile seiskamine</w:t>
            </w:r>
            <w:r w:rsidR="0014114D">
              <w:rPr>
                <w:rFonts w:cs="Arial"/>
                <w:sz w:val="18"/>
                <w:szCs w:val="18"/>
                <w:lang w:val="et-EE"/>
              </w:rPr>
              <w:t xml:space="preserve">. </w:t>
            </w:r>
          </w:p>
          <w:p w14:paraId="38A17013" w14:textId="739F8F23" w:rsidR="00A4651B" w:rsidRPr="00FD5087" w:rsidRDefault="0014114D" w:rsidP="0014114D">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KMH aruandes on </w:t>
            </w:r>
            <w:proofErr w:type="spellStart"/>
            <w:r>
              <w:rPr>
                <w:rFonts w:cs="Arial"/>
                <w:sz w:val="18"/>
                <w:szCs w:val="18"/>
                <w:lang w:val="et-EE"/>
              </w:rPr>
              <w:t>ptk</w:t>
            </w:r>
            <w:proofErr w:type="spellEnd"/>
            <w:r>
              <w:rPr>
                <w:rFonts w:cs="Arial"/>
                <w:sz w:val="18"/>
                <w:szCs w:val="18"/>
                <w:lang w:val="et-EE"/>
              </w:rPr>
              <w:t xml:space="preserve"> 4.9 täiendatud, sh on analüüsitud juhte, kui peaks tekkima a</w:t>
            </w:r>
            <w:r w:rsidR="008F7A97">
              <w:rPr>
                <w:rFonts w:cs="Arial"/>
                <w:sz w:val="18"/>
                <w:szCs w:val="18"/>
                <w:lang w:val="et-EE"/>
              </w:rPr>
              <w:t xml:space="preserve">varii elektrijaamas: praeguse seisuga </w:t>
            </w:r>
            <w:r>
              <w:rPr>
                <w:rFonts w:cs="Arial"/>
                <w:sz w:val="18"/>
                <w:szCs w:val="18"/>
                <w:lang w:val="et-EE"/>
              </w:rPr>
              <w:t xml:space="preserve">on </w:t>
            </w:r>
            <w:r w:rsidR="008F7A97">
              <w:rPr>
                <w:rFonts w:cs="Arial"/>
                <w:sz w:val="18"/>
                <w:szCs w:val="18"/>
                <w:lang w:val="et-EE"/>
              </w:rPr>
              <w:t>ühe ploki rikke korral reserv olemas</w:t>
            </w:r>
            <w:r>
              <w:rPr>
                <w:rFonts w:cs="Arial"/>
                <w:sz w:val="18"/>
                <w:szCs w:val="18"/>
                <w:lang w:val="et-EE"/>
              </w:rPr>
              <w:t xml:space="preserve"> ja gaasi saab ümber suunat</w:t>
            </w:r>
            <w:r w:rsidR="00C44395">
              <w:rPr>
                <w:rFonts w:cs="Arial"/>
                <w:sz w:val="18"/>
                <w:szCs w:val="18"/>
                <w:lang w:val="et-EE"/>
              </w:rPr>
              <w:t>a</w:t>
            </w:r>
            <w:r>
              <w:rPr>
                <w:rFonts w:cs="Arial"/>
                <w:sz w:val="18"/>
                <w:szCs w:val="18"/>
                <w:lang w:val="et-EE"/>
              </w:rPr>
              <w:t xml:space="preserve"> teisele plokile.</w:t>
            </w:r>
            <w:r w:rsidR="008F7A97">
              <w:rPr>
                <w:rFonts w:cs="Arial"/>
                <w:sz w:val="18"/>
                <w:szCs w:val="18"/>
                <w:lang w:val="et-EE"/>
              </w:rPr>
              <w:t xml:space="preserve"> </w:t>
            </w:r>
            <w:r>
              <w:rPr>
                <w:rFonts w:cs="Arial"/>
                <w:sz w:val="18"/>
                <w:szCs w:val="18"/>
                <w:lang w:val="et-EE"/>
              </w:rPr>
              <w:t xml:space="preserve">Olemas on </w:t>
            </w:r>
            <w:r w:rsidR="008F7A97">
              <w:rPr>
                <w:rFonts w:cs="Arial"/>
                <w:sz w:val="18"/>
                <w:szCs w:val="18"/>
                <w:lang w:val="et-EE"/>
              </w:rPr>
              <w:t>12 tunni valmidus</w:t>
            </w:r>
            <w:r>
              <w:rPr>
                <w:rFonts w:cs="Arial"/>
                <w:sz w:val="18"/>
                <w:szCs w:val="18"/>
                <w:lang w:val="et-EE"/>
              </w:rPr>
              <w:t xml:space="preserve"> teise ploki käivitamiseks</w:t>
            </w:r>
            <w:r w:rsidR="008F7A97">
              <w:rPr>
                <w:rFonts w:cs="Arial"/>
                <w:sz w:val="18"/>
                <w:szCs w:val="18"/>
                <w:lang w:val="et-EE"/>
              </w:rPr>
              <w:t>,</w:t>
            </w:r>
            <w:r>
              <w:rPr>
                <w:rFonts w:cs="Arial"/>
                <w:sz w:val="18"/>
                <w:szCs w:val="18"/>
                <w:lang w:val="et-EE"/>
              </w:rPr>
              <w:t xml:space="preserve"> kui </w:t>
            </w:r>
            <w:r w:rsidR="00062402">
              <w:rPr>
                <w:rFonts w:cs="Arial"/>
                <w:sz w:val="18"/>
                <w:szCs w:val="18"/>
                <w:lang w:val="et-EE"/>
              </w:rPr>
              <w:t xml:space="preserve">konkreetses olukorras </w:t>
            </w:r>
            <w:r>
              <w:rPr>
                <w:rFonts w:cs="Arial"/>
                <w:sz w:val="18"/>
                <w:szCs w:val="18"/>
                <w:lang w:val="et-EE"/>
              </w:rPr>
              <w:t>osutu</w:t>
            </w:r>
            <w:r w:rsidR="00062402">
              <w:rPr>
                <w:rFonts w:cs="Arial"/>
                <w:sz w:val="18"/>
                <w:szCs w:val="18"/>
                <w:lang w:val="et-EE"/>
              </w:rPr>
              <w:t>k</w:t>
            </w:r>
            <w:r>
              <w:rPr>
                <w:rFonts w:cs="Arial"/>
                <w:sz w:val="18"/>
                <w:szCs w:val="18"/>
                <w:lang w:val="et-EE"/>
              </w:rPr>
              <w:t>s, et töös oligi ainult üks plokk. Käivitamise kestuseks võib</w:t>
            </w:r>
            <w:r w:rsidR="008F7A97">
              <w:rPr>
                <w:rFonts w:cs="Arial"/>
                <w:sz w:val="18"/>
                <w:szCs w:val="18"/>
                <w:lang w:val="et-EE"/>
              </w:rPr>
              <w:t xml:space="preserve"> probleemide korral </w:t>
            </w:r>
            <w:r>
              <w:rPr>
                <w:rFonts w:cs="Arial"/>
                <w:sz w:val="18"/>
                <w:szCs w:val="18"/>
                <w:lang w:val="et-EE"/>
              </w:rPr>
              <w:t xml:space="preserve">eeldada </w:t>
            </w:r>
            <w:r w:rsidR="008F7A97">
              <w:rPr>
                <w:rFonts w:cs="Arial"/>
                <w:sz w:val="18"/>
                <w:szCs w:val="18"/>
                <w:lang w:val="et-EE"/>
              </w:rPr>
              <w:t>ma</w:t>
            </w:r>
            <w:r>
              <w:rPr>
                <w:rFonts w:cs="Arial"/>
                <w:sz w:val="18"/>
                <w:szCs w:val="18"/>
                <w:lang w:val="et-EE"/>
              </w:rPr>
              <w:t>ksimaalselt</w:t>
            </w:r>
            <w:r w:rsidR="008F7A97">
              <w:rPr>
                <w:rFonts w:cs="Arial"/>
                <w:sz w:val="18"/>
                <w:szCs w:val="18"/>
                <w:lang w:val="et-EE"/>
              </w:rPr>
              <w:t xml:space="preserve"> 24 h</w:t>
            </w:r>
            <w:r>
              <w:rPr>
                <w:rFonts w:cs="Arial"/>
                <w:sz w:val="18"/>
                <w:szCs w:val="18"/>
                <w:lang w:val="et-EE"/>
              </w:rPr>
              <w:t xml:space="preserve">. </w:t>
            </w:r>
            <w:r w:rsidR="008F7A97">
              <w:rPr>
                <w:rFonts w:cs="Arial"/>
                <w:sz w:val="18"/>
                <w:szCs w:val="18"/>
                <w:lang w:val="et-EE"/>
              </w:rPr>
              <w:t xml:space="preserve">Kui </w:t>
            </w:r>
            <w:r>
              <w:rPr>
                <w:rFonts w:cs="Arial"/>
                <w:sz w:val="18"/>
                <w:szCs w:val="18"/>
                <w:lang w:val="et-EE"/>
              </w:rPr>
              <w:t xml:space="preserve">plokis </w:t>
            </w:r>
            <w:r w:rsidR="008F7A97">
              <w:rPr>
                <w:rFonts w:cs="Arial"/>
                <w:sz w:val="18"/>
                <w:szCs w:val="18"/>
                <w:lang w:val="et-EE"/>
              </w:rPr>
              <w:t xml:space="preserve">ei ole meeskondi kohal, siis </w:t>
            </w:r>
            <w:r>
              <w:rPr>
                <w:rFonts w:cs="Arial"/>
                <w:sz w:val="18"/>
                <w:szCs w:val="18"/>
                <w:lang w:val="et-EE"/>
              </w:rPr>
              <w:t xml:space="preserve">võib käivitamine kesta </w:t>
            </w:r>
            <w:r w:rsidR="008F7A97">
              <w:rPr>
                <w:rFonts w:cs="Arial"/>
                <w:sz w:val="18"/>
                <w:szCs w:val="18"/>
                <w:lang w:val="et-EE"/>
              </w:rPr>
              <w:t>kuni 48 tundi</w:t>
            </w:r>
            <w:r>
              <w:rPr>
                <w:rFonts w:cs="Arial"/>
                <w:sz w:val="18"/>
                <w:szCs w:val="18"/>
                <w:lang w:val="et-EE"/>
              </w:rPr>
              <w:t>.</w:t>
            </w:r>
            <w:r w:rsidR="008F7A97">
              <w:rPr>
                <w:rFonts w:cs="Arial"/>
                <w:sz w:val="18"/>
                <w:szCs w:val="18"/>
                <w:lang w:val="et-EE"/>
              </w:rPr>
              <w:t xml:space="preserve"> </w:t>
            </w:r>
            <w:r w:rsidR="00C44395">
              <w:rPr>
                <w:rFonts w:cs="Arial"/>
                <w:sz w:val="18"/>
                <w:szCs w:val="18"/>
                <w:lang w:val="et-EE"/>
              </w:rPr>
              <w:t>A</w:t>
            </w:r>
            <w:r w:rsidR="008F7A97">
              <w:rPr>
                <w:rFonts w:cs="Arial"/>
                <w:sz w:val="18"/>
                <w:szCs w:val="18"/>
                <w:lang w:val="et-EE"/>
              </w:rPr>
              <w:t xml:space="preserve">ga siis ei </w:t>
            </w:r>
            <w:r>
              <w:rPr>
                <w:rFonts w:cs="Arial"/>
                <w:sz w:val="18"/>
                <w:szCs w:val="18"/>
                <w:lang w:val="et-EE"/>
              </w:rPr>
              <w:t xml:space="preserve">suunata kogu uttegaasi </w:t>
            </w:r>
            <w:r w:rsidR="008F7A97">
              <w:rPr>
                <w:rFonts w:cs="Arial"/>
                <w:sz w:val="18"/>
                <w:szCs w:val="18"/>
                <w:lang w:val="et-EE"/>
              </w:rPr>
              <w:t>tõrvikusse</w:t>
            </w:r>
            <w:r w:rsidR="00C44395">
              <w:rPr>
                <w:rFonts w:cs="Arial"/>
                <w:sz w:val="18"/>
                <w:szCs w:val="18"/>
                <w:lang w:val="et-EE"/>
              </w:rPr>
              <w:t>,</w:t>
            </w:r>
            <w:r w:rsidR="008F7A97">
              <w:rPr>
                <w:rFonts w:cs="Arial"/>
                <w:sz w:val="18"/>
                <w:szCs w:val="18"/>
                <w:lang w:val="et-EE"/>
              </w:rPr>
              <w:t xml:space="preserve"> vaid järgneb </w:t>
            </w:r>
            <w:r>
              <w:rPr>
                <w:rFonts w:cs="Arial"/>
                <w:sz w:val="18"/>
                <w:szCs w:val="18"/>
                <w:lang w:val="et-EE"/>
              </w:rPr>
              <w:t xml:space="preserve">õliseadmete </w:t>
            </w:r>
            <w:r w:rsidR="008F7A97">
              <w:rPr>
                <w:rFonts w:cs="Arial"/>
                <w:sz w:val="18"/>
                <w:szCs w:val="18"/>
                <w:lang w:val="et-EE"/>
              </w:rPr>
              <w:t>osaline seiskamine</w:t>
            </w:r>
            <w:r w:rsidR="00A4651B">
              <w:rPr>
                <w:rFonts w:cs="Arial"/>
                <w:sz w:val="18"/>
                <w:szCs w:val="18"/>
                <w:lang w:val="et-EE"/>
              </w:rPr>
              <w:t>.</w:t>
            </w:r>
          </w:p>
        </w:tc>
      </w:tr>
      <w:tr w:rsidR="00FB6150" w:rsidRPr="00FD5087" w14:paraId="3D576A06"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0B2713EB" w14:textId="77777777" w:rsidR="00FB6150" w:rsidRPr="00FD5087" w:rsidRDefault="00FB6150" w:rsidP="00FB6150">
            <w:pPr>
              <w:spacing w:beforeLines="60" w:before="144"/>
              <w:rPr>
                <w:rFonts w:cs="Arial"/>
                <w:b/>
                <w:sz w:val="18"/>
                <w:szCs w:val="18"/>
                <w:lang w:val="et-EE"/>
              </w:rPr>
            </w:pPr>
            <w:r w:rsidRPr="00FD5087">
              <w:rPr>
                <w:rFonts w:cs="Arial"/>
                <w:b/>
                <w:bCs w:val="0"/>
                <w:sz w:val="18"/>
                <w:szCs w:val="18"/>
                <w:lang w:val="et-EE"/>
              </w:rPr>
              <w:t xml:space="preserve">4. </w:t>
            </w:r>
            <w:proofErr w:type="spellStart"/>
            <w:r w:rsidRPr="00FD5087">
              <w:rPr>
                <w:rFonts w:cs="Arial"/>
                <w:b/>
                <w:bCs w:val="0"/>
                <w:sz w:val="18"/>
                <w:szCs w:val="18"/>
                <w:lang w:val="et-EE"/>
              </w:rPr>
              <w:t>Sotsiaal-majandusliku</w:t>
            </w:r>
            <w:proofErr w:type="spellEnd"/>
            <w:r w:rsidRPr="00FD5087">
              <w:rPr>
                <w:rFonts w:cs="Arial"/>
                <w:b/>
                <w:bCs w:val="0"/>
                <w:sz w:val="18"/>
                <w:szCs w:val="18"/>
                <w:lang w:val="et-EE"/>
              </w:rPr>
              <w:t xml:space="preserve"> mõju hindamine</w:t>
            </w:r>
          </w:p>
          <w:p w14:paraId="2C01DE09" w14:textId="4B4332AB" w:rsidR="00FB6150" w:rsidRPr="00FD5087" w:rsidRDefault="00FB6150" w:rsidP="00FB6150">
            <w:pPr>
              <w:spacing w:beforeLines="60" w:before="144"/>
              <w:rPr>
                <w:rFonts w:cs="Arial"/>
                <w:b/>
                <w:sz w:val="18"/>
                <w:szCs w:val="18"/>
                <w:lang w:val="et-EE"/>
              </w:rPr>
            </w:pPr>
            <w:r w:rsidRPr="00FD5087">
              <w:rPr>
                <w:rFonts w:cs="Arial"/>
                <w:b/>
                <w:bCs w:val="0"/>
                <w:sz w:val="18"/>
                <w:szCs w:val="18"/>
                <w:lang w:val="et-EE"/>
              </w:rPr>
              <w:t>4.1. KMH aruande eksitav info tööhõive koh</w:t>
            </w:r>
            <w:r w:rsidR="005D6F8B">
              <w:rPr>
                <w:rFonts w:cs="Arial"/>
                <w:b/>
                <w:bCs w:val="0"/>
                <w:sz w:val="18"/>
                <w:szCs w:val="18"/>
                <w:lang w:val="et-EE"/>
              </w:rPr>
              <w:t>t</w:t>
            </w:r>
            <w:r w:rsidRPr="00FD5087">
              <w:rPr>
                <w:rFonts w:cs="Arial"/>
                <w:b/>
                <w:bCs w:val="0"/>
                <w:sz w:val="18"/>
                <w:szCs w:val="18"/>
                <w:lang w:val="et-EE"/>
              </w:rPr>
              <w:t>a</w:t>
            </w:r>
          </w:p>
          <w:p w14:paraId="3AF937CC" w14:textId="7423AB0C" w:rsidR="00FB6150" w:rsidRPr="00FD5087" w:rsidRDefault="00FB6150" w:rsidP="00FB6150">
            <w:pPr>
              <w:spacing w:beforeLines="60" w:before="144"/>
              <w:rPr>
                <w:rFonts w:cs="Arial"/>
                <w:b/>
                <w:bCs w:val="0"/>
                <w:sz w:val="18"/>
                <w:szCs w:val="18"/>
                <w:lang w:val="et-EE"/>
              </w:rPr>
            </w:pPr>
            <w:r w:rsidRPr="00FD5087">
              <w:rPr>
                <w:rFonts w:cs="Arial"/>
                <w:bCs w:val="0"/>
                <w:sz w:val="18"/>
                <w:szCs w:val="18"/>
                <w:lang w:val="et-EE"/>
              </w:rPr>
              <w:t xml:space="preserve">Aruandes on viidatud </w:t>
            </w:r>
            <w:proofErr w:type="spellStart"/>
            <w:r w:rsidRPr="00FD5087">
              <w:rPr>
                <w:rFonts w:cs="Arial"/>
                <w:bCs w:val="0"/>
                <w:sz w:val="18"/>
                <w:szCs w:val="18"/>
                <w:lang w:val="et-EE"/>
              </w:rPr>
              <w:t>Auvere</w:t>
            </w:r>
            <w:proofErr w:type="spellEnd"/>
            <w:r w:rsidRPr="00FD5087">
              <w:rPr>
                <w:rFonts w:cs="Arial"/>
                <w:bCs w:val="0"/>
                <w:sz w:val="18"/>
                <w:szCs w:val="18"/>
                <w:lang w:val="et-EE"/>
              </w:rPr>
              <w:t xml:space="preserve"> KSH aruandele, mille “</w:t>
            </w:r>
            <w:proofErr w:type="spellStart"/>
            <w:r w:rsidRPr="00FD5087">
              <w:rPr>
                <w:rFonts w:cs="Arial"/>
                <w:bCs w:val="0"/>
                <w:sz w:val="18"/>
                <w:szCs w:val="18"/>
                <w:lang w:val="et-EE"/>
              </w:rPr>
              <w:t>ptk</w:t>
            </w:r>
            <w:proofErr w:type="spellEnd"/>
            <w:r w:rsidRPr="00FD5087">
              <w:rPr>
                <w:rFonts w:cs="Arial"/>
                <w:bCs w:val="0"/>
                <w:sz w:val="18"/>
                <w:szCs w:val="18"/>
                <w:lang w:val="et-EE"/>
              </w:rPr>
              <w:t xml:space="preserve"> 7.2 on toodud, et õlitootmise laienemise ja </w:t>
            </w:r>
            <w:proofErr w:type="spellStart"/>
            <w:r w:rsidRPr="00FD5087">
              <w:rPr>
                <w:rFonts w:cs="Arial"/>
                <w:bCs w:val="0"/>
                <w:sz w:val="18"/>
                <w:szCs w:val="18"/>
                <w:lang w:val="et-EE"/>
              </w:rPr>
              <w:t>järeltöötluse</w:t>
            </w:r>
            <w:proofErr w:type="spellEnd"/>
            <w:r w:rsidRPr="00FD5087">
              <w:rPr>
                <w:rFonts w:cs="Arial"/>
                <w:bCs w:val="0"/>
                <w:sz w:val="18"/>
                <w:szCs w:val="18"/>
                <w:lang w:val="et-EE"/>
              </w:rPr>
              <w:t xml:space="preserve"> otseseks </w:t>
            </w:r>
            <w:r w:rsidRPr="00FD5087">
              <w:rPr>
                <w:rFonts w:cs="Arial"/>
                <w:bCs w:val="0"/>
                <w:sz w:val="18"/>
                <w:szCs w:val="18"/>
                <w:lang w:val="et-EE"/>
              </w:rPr>
              <w:lastRenderedPageBreak/>
              <w:t xml:space="preserve">positiivseks mõjuks tööhõivele on maksimaalselt </w:t>
            </w:r>
            <w:r w:rsidRPr="00FD5087">
              <w:rPr>
                <w:rFonts w:cs="Arial"/>
                <w:bCs w:val="0"/>
                <w:sz w:val="18"/>
                <w:szCs w:val="18"/>
                <w:u w:val="single"/>
                <w:lang w:val="et-EE"/>
              </w:rPr>
              <w:t>500 uut töökohta</w:t>
            </w:r>
            <w:r w:rsidRPr="00FD5087">
              <w:rPr>
                <w:rFonts w:cs="Arial"/>
                <w:bCs w:val="0"/>
                <w:sz w:val="18"/>
                <w:szCs w:val="18"/>
                <w:lang w:val="et-EE"/>
              </w:rPr>
              <w:t xml:space="preserve">” (lk 61). See hinnang on </w:t>
            </w:r>
            <w:proofErr w:type="spellStart"/>
            <w:r w:rsidRPr="00FD5087">
              <w:rPr>
                <w:rFonts w:cs="Arial"/>
                <w:bCs w:val="0"/>
                <w:sz w:val="18"/>
                <w:szCs w:val="18"/>
                <w:lang w:val="et-EE"/>
              </w:rPr>
              <w:t>Auvere</w:t>
            </w:r>
            <w:proofErr w:type="spellEnd"/>
            <w:r w:rsidRPr="00FD5087">
              <w:rPr>
                <w:rFonts w:cs="Arial"/>
                <w:bCs w:val="0"/>
                <w:sz w:val="18"/>
                <w:szCs w:val="18"/>
                <w:lang w:val="et-EE"/>
              </w:rPr>
              <w:t xml:space="preserve"> KSH raames antud </w:t>
            </w:r>
            <w:r w:rsidRPr="00FD5087">
              <w:rPr>
                <w:rFonts w:cs="Arial"/>
                <w:bCs w:val="0"/>
                <w:sz w:val="18"/>
                <w:szCs w:val="18"/>
                <w:u w:val="single"/>
                <w:lang w:val="et-EE"/>
              </w:rPr>
              <w:t>maksimaalse stsenaariumi realiseerumisele</w:t>
            </w:r>
            <w:r w:rsidRPr="00FD5087">
              <w:rPr>
                <w:rFonts w:cs="Arial"/>
                <w:bCs w:val="0"/>
                <w:sz w:val="18"/>
                <w:szCs w:val="18"/>
                <w:lang w:val="et-EE"/>
              </w:rPr>
              <w:t xml:space="preserve">, st olukorrale, kui rajatakse 4 Enefit-280 seadet ning õli </w:t>
            </w:r>
            <w:proofErr w:type="spellStart"/>
            <w:r w:rsidRPr="00FD5087">
              <w:rPr>
                <w:rFonts w:cs="Arial"/>
                <w:bCs w:val="0"/>
                <w:sz w:val="18"/>
                <w:szCs w:val="18"/>
                <w:lang w:val="et-EE"/>
              </w:rPr>
              <w:t>järeltöötlustehas</w:t>
            </w:r>
            <w:proofErr w:type="spellEnd"/>
            <w:r w:rsidRPr="00FD5087">
              <w:rPr>
                <w:rFonts w:cs="Arial"/>
                <w:bCs w:val="0"/>
                <w:sz w:val="18"/>
                <w:szCs w:val="18"/>
                <w:lang w:val="et-EE"/>
              </w:rPr>
              <w:t xml:space="preserve"> aastase keskmise tootmisvõimsusega 5700 t (</w:t>
            </w:r>
            <w:proofErr w:type="spellStart"/>
            <w:r w:rsidRPr="00FD5087">
              <w:rPr>
                <w:rFonts w:cs="Arial"/>
                <w:bCs w:val="0"/>
                <w:sz w:val="18"/>
                <w:szCs w:val="18"/>
                <w:lang w:val="et-EE"/>
              </w:rPr>
              <w:t>Auvere</w:t>
            </w:r>
            <w:proofErr w:type="spellEnd"/>
            <w:r w:rsidRPr="00FD5087">
              <w:rPr>
                <w:rFonts w:cs="Arial"/>
                <w:bCs w:val="0"/>
                <w:sz w:val="18"/>
                <w:szCs w:val="18"/>
                <w:lang w:val="et-EE"/>
              </w:rPr>
              <w:t xml:space="preserve"> KSH aruanne lk 151 ja 155). KMH raames hinnatakse aga üksnes ühe Enefit-280 seadme rajamise mõju, mille sotsiaalmajanduslik mõju on oluliselt väiksem kirjeldatud maksimaalsest stsenaariumist: kompleksloa taotluse kohaselt kaasneb tehasega vaid </w:t>
            </w:r>
            <w:r w:rsidRPr="00FD5087">
              <w:rPr>
                <w:rFonts w:cs="Arial"/>
                <w:bCs w:val="0"/>
                <w:sz w:val="18"/>
                <w:szCs w:val="18"/>
                <w:u w:val="single"/>
                <w:lang w:val="et-EE"/>
              </w:rPr>
              <w:t>61 töökohta</w:t>
            </w:r>
            <w:r w:rsidRPr="00FD5087">
              <w:rPr>
                <w:rFonts w:cs="Arial"/>
                <w:bCs w:val="0"/>
                <w:sz w:val="18"/>
                <w:szCs w:val="18"/>
                <w:lang w:val="et-EE"/>
              </w:rPr>
              <w:t xml:space="preserve">. Nagu on märgitud KMH aruandes, ei ole kolme täiendava õlitehase rajamine lisaks Enefit280-2 seadmele otstarbekas (lk 13), mistõttu ei realiseeru ka </w:t>
            </w:r>
            <w:proofErr w:type="spellStart"/>
            <w:r w:rsidRPr="00FD5087">
              <w:rPr>
                <w:rFonts w:cs="Arial"/>
                <w:bCs w:val="0"/>
                <w:sz w:val="18"/>
                <w:szCs w:val="18"/>
                <w:lang w:val="et-EE"/>
              </w:rPr>
              <w:t>Auvere</w:t>
            </w:r>
            <w:proofErr w:type="spellEnd"/>
            <w:r w:rsidRPr="00FD5087">
              <w:rPr>
                <w:rFonts w:cs="Arial"/>
                <w:bCs w:val="0"/>
                <w:sz w:val="18"/>
                <w:szCs w:val="18"/>
                <w:lang w:val="et-EE"/>
              </w:rPr>
              <w:t xml:space="preserve"> KSH aruandes kirjeldatud maksimaalne stsenaarium. Ühe tehase mõju hindamiseks ei ole </w:t>
            </w:r>
            <w:proofErr w:type="spellStart"/>
            <w:r w:rsidRPr="00FD5087">
              <w:rPr>
                <w:rFonts w:cs="Arial"/>
                <w:bCs w:val="0"/>
                <w:sz w:val="18"/>
                <w:szCs w:val="18"/>
                <w:lang w:val="et-EE"/>
              </w:rPr>
              <w:t>Auvere</w:t>
            </w:r>
            <w:proofErr w:type="spellEnd"/>
            <w:r w:rsidRPr="00FD5087">
              <w:rPr>
                <w:rFonts w:cs="Arial"/>
                <w:bCs w:val="0"/>
                <w:sz w:val="18"/>
                <w:szCs w:val="18"/>
                <w:lang w:val="et-EE"/>
              </w:rPr>
              <w:t xml:space="preserve"> KSH raames antud hinnang nõutavalt täpne. </w:t>
            </w:r>
            <w:r w:rsidRPr="00FD5087">
              <w:rPr>
                <w:rFonts w:cs="Arial"/>
                <w:b/>
                <w:sz w:val="18"/>
                <w:szCs w:val="18"/>
                <w:lang w:val="et-EE"/>
              </w:rPr>
              <w:t>Seepärast palume KMH raames anda ajakohane ja täpsustatud hinnang Enefit-280</w:t>
            </w:r>
            <w:r w:rsidRPr="00FD5087">
              <w:rPr>
                <w:rFonts w:cs="Arial"/>
                <w:bCs w:val="0"/>
                <w:sz w:val="18"/>
                <w:szCs w:val="18"/>
                <w:lang w:val="et-EE"/>
              </w:rPr>
              <w:t xml:space="preserve"> </w:t>
            </w:r>
            <w:r w:rsidRPr="00FD5087">
              <w:rPr>
                <w:rFonts w:cs="Arial"/>
                <w:b/>
                <w:sz w:val="18"/>
                <w:szCs w:val="18"/>
                <w:lang w:val="et-EE"/>
              </w:rPr>
              <w:t>seadme rajamisega kaasnevate töökohtade arvule.</w:t>
            </w:r>
          </w:p>
        </w:tc>
        <w:tc>
          <w:tcPr>
            <w:tcW w:w="7377" w:type="dxa"/>
            <w:shd w:val="clear" w:color="auto" w:fill="FFFFFF" w:themeFill="background1"/>
            <w:vAlign w:val="top"/>
          </w:tcPr>
          <w:p w14:paraId="1B9D769E" w14:textId="4BFCBDD1" w:rsidR="00005947" w:rsidRDefault="00C678E1" w:rsidP="009647D3">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lastRenderedPageBreak/>
              <w:t xml:space="preserve">KMH aruandes ei ole esitatud eksitavad infot tööhõive kohta. </w:t>
            </w:r>
            <w:r w:rsidR="00884255" w:rsidRPr="00FD5087">
              <w:rPr>
                <w:rFonts w:cs="Arial"/>
                <w:sz w:val="18"/>
                <w:szCs w:val="18"/>
                <w:lang w:val="et-EE"/>
              </w:rPr>
              <w:t>KSH</w:t>
            </w:r>
            <w:r>
              <w:rPr>
                <w:rFonts w:cs="Arial"/>
                <w:sz w:val="18"/>
                <w:szCs w:val="18"/>
                <w:lang w:val="et-EE"/>
              </w:rPr>
              <w:t>-s hinnati Õlitööstuse maa-ala detailplaneeringuga võimaldavaid tegevusi, mille te ka ise välja toonud olete. Kirjutat</w:t>
            </w:r>
            <w:r w:rsidR="003D450B">
              <w:rPr>
                <w:rFonts w:cs="Arial"/>
                <w:sz w:val="18"/>
                <w:szCs w:val="18"/>
                <w:lang w:val="et-EE"/>
              </w:rPr>
              <w:t>e</w:t>
            </w:r>
            <w:r>
              <w:rPr>
                <w:rFonts w:cs="Arial"/>
                <w:sz w:val="18"/>
                <w:szCs w:val="18"/>
                <w:lang w:val="et-EE"/>
              </w:rPr>
              <w:t>, et ühe tehase mõju hindamiseks ei ole K</w:t>
            </w:r>
            <w:r w:rsidR="003D450B">
              <w:rPr>
                <w:rFonts w:cs="Arial"/>
                <w:sz w:val="18"/>
                <w:szCs w:val="18"/>
                <w:lang w:val="et-EE"/>
              </w:rPr>
              <w:t>M</w:t>
            </w:r>
            <w:r>
              <w:rPr>
                <w:rFonts w:cs="Arial"/>
                <w:sz w:val="18"/>
                <w:szCs w:val="18"/>
                <w:lang w:val="et-EE"/>
              </w:rPr>
              <w:t>H antud hinnang piisavalt täpne. Selgitame, et avaldatava keskkonnamõju puhul sõltuks töötajate arvust olmevee käit</w:t>
            </w:r>
            <w:r w:rsidR="003D450B">
              <w:rPr>
                <w:rFonts w:cs="Arial"/>
                <w:sz w:val="18"/>
                <w:szCs w:val="18"/>
                <w:lang w:val="et-EE"/>
              </w:rPr>
              <w:t>l</w:t>
            </w:r>
            <w:r>
              <w:rPr>
                <w:rFonts w:cs="Arial"/>
                <w:sz w:val="18"/>
                <w:szCs w:val="18"/>
                <w:lang w:val="et-EE"/>
              </w:rPr>
              <w:t xml:space="preserve">us ja selle mõju hinnang on antud KMH aruande </w:t>
            </w:r>
            <w:proofErr w:type="spellStart"/>
            <w:r>
              <w:rPr>
                <w:rFonts w:cs="Arial"/>
                <w:sz w:val="18"/>
                <w:szCs w:val="18"/>
                <w:lang w:val="et-EE"/>
              </w:rPr>
              <w:t>ptk</w:t>
            </w:r>
            <w:proofErr w:type="spellEnd"/>
            <w:r>
              <w:rPr>
                <w:rFonts w:cs="Arial"/>
                <w:sz w:val="18"/>
                <w:szCs w:val="18"/>
                <w:lang w:val="et-EE"/>
              </w:rPr>
              <w:t xml:space="preserve"> 4.6. </w:t>
            </w:r>
            <w:proofErr w:type="spellStart"/>
            <w:r>
              <w:rPr>
                <w:rFonts w:cs="Arial"/>
                <w:sz w:val="18"/>
                <w:szCs w:val="18"/>
                <w:lang w:val="et-EE"/>
              </w:rPr>
              <w:t>Auvere</w:t>
            </w:r>
            <w:proofErr w:type="spellEnd"/>
            <w:r>
              <w:rPr>
                <w:rFonts w:cs="Arial"/>
                <w:sz w:val="18"/>
                <w:szCs w:val="18"/>
                <w:lang w:val="et-EE"/>
              </w:rPr>
              <w:t xml:space="preserve"> kompleks kujundatu palju suuremale arvule töölistele kui selles </w:t>
            </w:r>
            <w:r>
              <w:rPr>
                <w:rFonts w:cs="Arial"/>
                <w:sz w:val="18"/>
                <w:szCs w:val="18"/>
                <w:lang w:val="et-EE"/>
              </w:rPr>
              <w:lastRenderedPageBreak/>
              <w:t>praegu kokku töötab ja töötaks ka pärast Enefit280-2 lisandumist. Järeldati, et  Enefit280</w:t>
            </w:r>
            <w:r w:rsidR="00005947">
              <w:rPr>
                <w:rFonts w:cs="Arial"/>
                <w:sz w:val="18"/>
                <w:szCs w:val="18"/>
                <w:lang w:val="et-EE"/>
              </w:rPr>
              <w:t xml:space="preserve"> </w:t>
            </w:r>
            <w:r w:rsidRPr="00C678E1">
              <w:rPr>
                <w:rFonts w:cs="Arial"/>
                <w:sz w:val="18"/>
                <w:szCs w:val="18"/>
                <w:lang w:val="et-EE"/>
              </w:rPr>
              <w:t xml:space="preserve">ei suurenda </w:t>
            </w:r>
            <w:proofErr w:type="spellStart"/>
            <w:r w:rsidRPr="00C678E1">
              <w:rPr>
                <w:rFonts w:cs="Arial"/>
                <w:sz w:val="18"/>
                <w:szCs w:val="18"/>
                <w:lang w:val="et-EE"/>
              </w:rPr>
              <w:t>Auvere</w:t>
            </w:r>
            <w:proofErr w:type="spellEnd"/>
            <w:r w:rsidRPr="00C678E1">
              <w:rPr>
                <w:rFonts w:cs="Arial"/>
                <w:sz w:val="18"/>
                <w:szCs w:val="18"/>
                <w:lang w:val="et-EE"/>
              </w:rPr>
              <w:t xml:space="preserve"> energiakompleksi töötajate arvu ja tekkiva olmereovee kogust ega koostist võrreldes varasemate aastatega</w:t>
            </w:r>
            <w:r w:rsidR="00005947">
              <w:rPr>
                <w:rFonts w:cs="Arial"/>
                <w:sz w:val="18"/>
                <w:szCs w:val="18"/>
                <w:lang w:val="et-EE"/>
              </w:rPr>
              <w:t xml:space="preserve">. Ptk 4.4 viidati ka võimalikule vajadusele olmereoveepuhasti rekonstrueerida, kui töötajate arv peaks järjest vähenema. </w:t>
            </w:r>
          </w:p>
          <w:p w14:paraId="7793DF04" w14:textId="00E097E6" w:rsidR="00062402" w:rsidRDefault="00005947" w:rsidP="009647D3">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 xml:space="preserve">Samas ei ole </w:t>
            </w:r>
            <w:proofErr w:type="spellStart"/>
            <w:r>
              <w:rPr>
                <w:rFonts w:cs="Arial"/>
                <w:sz w:val="18"/>
                <w:szCs w:val="18"/>
                <w:lang w:val="et-EE"/>
              </w:rPr>
              <w:t>sotsiaal-majanduslike</w:t>
            </w:r>
            <w:proofErr w:type="spellEnd"/>
            <w:r>
              <w:rPr>
                <w:rFonts w:cs="Arial"/>
                <w:sz w:val="18"/>
                <w:szCs w:val="18"/>
                <w:lang w:val="et-EE"/>
              </w:rPr>
              <w:t xml:space="preserve"> mõju hindamine otseselt keskkonnamõju hi</w:t>
            </w:r>
            <w:r w:rsidR="00DD5C3A">
              <w:rPr>
                <w:rFonts w:cs="Arial"/>
                <w:sz w:val="18"/>
                <w:szCs w:val="18"/>
                <w:lang w:val="et-EE"/>
              </w:rPr>
              <w:t>n</w:t>
            </w:r>
            <w:r>
              <w:rPr>
                <w:rFonts w:cs="Arial"/>
                <w:sz w:val="18"/>
                <w:szCs w:val="18"/>
                <w:lang w:val="et-EE"/>
              </w:rPr>
              <w:t>damise ülesanne ja seda ei nähtud ette ka KMH programmis. Tuleb märkida, et KSH aruandes märgitud 500 töökohta võivad realiseeruda Eesti Energia teiste arendusprojektide raames, kui need toimuvad Õlitööstuse maa-alal.</w:t>
            </w:r>
            <w:r w:rsidR="00062402">
              <w:rPr>
                <w:rFonts w:cs="Arial"/>
                <w:sz w:val="18"/>
                <w:szCs w:val="18"/>
                <w:lang w:val="et-EE"/>
              </w:rPr>
              <w:t xml:space="preserve"> </w:t>
            </w:r>
            <w:proofErr w:type="spellStart"/>
            <w:r>
              <w:rPr>
                <w:rFonts w:cs="Arial"/>
                <w:sz w:val="18"/>
                <w:szCs w:val="18"/>
                <w:lang w:val="et-EE"/>
              </w:rPr>
              <w:t>Sotsiaal-majanduslike</w:t>
            </w:r>
            <w:proofErr w:type="spellEnd"/>
            <w:r>
              <w:rPr>
                <w:rFonts w:cs="Arial"/>
                <w:sz w:val="18"/>
                <w:szCs w:val="18"/>
                <w:lang w:val="et-EE"/>
              </w:rPr>
              <w:t xml:space="preserve"> mõjude hindamisel oleks asjakohane hinnata ka</w:t>
            </w:r>
            <w:r w:rsidR="00062402">
              <w:rPr>
                <w:rFonts w:cs="Arial"/>
                <w:sz w:val="18"/>
                <w:szCs w:val="18"/>
                <w:lang w:val="et-EE"/>
              </w:rPr>
              <w:t xml:space="preserve"> kaudseid töökohti, mis on eeldatavalt suurem arv kui Enefit280-2 käitamisega konkreetselt seotud 61 töökohta ja järgnevate arendusprojektide käitamisega seotud töökohad. </w:t>
            </w:r>
          </w:p>
          <w:p w14:paraId="05DE545F" w14:textId="39CDE2AC" w:rsidR="00A4651B" w:rsidRPr="00FD5087" w:rsidRDefault="00062402" w:rsidP="009647D3">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Laiemalt on</w:t>
            </w:r>
            <w:r w:rsidR="005D6F8B">
              <w:rPr>
                <w:rFonts w:cs="Arial"/>
                <w:sz w:val="18"/>
                <w:szCs w:val="18"/>
                <w:lang w:val="et-EE"/>
              </w:rPr>
              <w:t xml:space="preserve"> Ida-Virumaa töökohtadega seotud</w:t>
            </w:r>
            <w:r>
              <w:rPr>
                <w:rFonts w:cs="Arial"/>
                <w:sz w:val="18"/>
                <w:szCs w:val="18"/>
                <w:lang w:val="et-EE"/>
              </w:rPr>
              <w:t xml:space="preserve"> </w:t>
            </w:r>
            <w:proofErr w:type="spellStart"/>
            <w:r>
              <w:rPr>
                <w:rFonts w:cs="Arial"/>
                <w:sz w:val="18"/>
                <w:szCs w:val="18"/>
                <w:lang w:val="et-EE"/>
              </w:rPr>
              <w:t>sotsiaal-majandusli</w:t>
            </w:r>
            <w:r w:rsidR="005D6F8B">
              <w:rPr>
                <w:rFonts w:cs="Arial"/>
                <w:sz w:val="18"/>
                <w:szCs w:val="18"/>
                <w:lang w:val="et-EE"/>
              </w:rPr>
              <w:t>k</w:t>
            </w:r>
            <w:r>
              <w:rPr>
                <w:rFonts w:cs="Arial"/>
                <w:sz w:val="18"/>
                <w:szCs w:val="18"/>
                <w:lang w:val="et-EE"/>
              </w:rPr>
              <w:t>ku</w:t>
            </w:r>
            <w:proofErr w:type="spellEnd"/>
            <w:r>
              <w:rPr>
                <w:rFonts w:cs="Arial"/>
                <w:sz w:val="18"/>
                <w:szCs w:val="18"/>
                <w:lang w:val="et-EE"/>
              </w:rPr>
              <w:t xml:space="preserve"> mõju hinnatud </w:t>
            </w:r>
            <w:bookmarkStart w:id="7" w:name="_Hlk138177224"/>
            <w:r>
              <w:rPr>
                <w:rFonts w:cs="Arial"/>
                <w:sz w:val="18"/>
                <w:szCs w:val="18"/>
                <w:lang w:val="et-EE"/>
              </w:rPr>
              <w:t>Õiglase ülemineku territoriaalses kava</w:t>
            </w:r>
            <w:bookmarkEnd w:id="7"/>
            <w:r>
              <w:rPr>
                <w:rFonts w:cs="Arial"/>
                <w:sz w:val="18"/>
                <w:szCs w:val="18"/>
                <w:lang w:val="et-EE"/>
              </w:rPr>
              <w:t xml:space="preserve">s ja seda seoses põlevkivi kasutamisest järk-järgult loobumisega. KMH aruande </w:t>
            </w:r>
            <w:proofErr w:type="spellStart"/>
            <w:r>
              <w:rPr>
                <w:rFonts w:cs="Arial"/>
                <w:sz w:val="18"/>
                <w:szCs w:val="18"/>
                <w:lang w:val="et-EE"/>
              </w:rPr>
              <w:t>ptk</w:t>
            </w:r>
            <w:proofErr w:type="spellEnd"/>
            <w:r>
              <w:rPr>
                <w:rFonts w:cs="Arial"/>
                <w:sz w:val="18"/>
                <w:szCs w:val="18"/>
                <w:lang w:val="et-EE"/>
              </w:rPr>
              <w:t xml:space="preserve"> 3.1 koondülevaatesse on lisatud kokkuvõtte töökohtadega seotud mõjudest</w:t>
            </w:r>
            <w:r w:rsidR="00005947">
              <w:rPr>
                <w:rFonts w:cs="Arial"/>
                <w:sz w:val="18"/>
                <w:szCs w:val="18"/>
                <w:lang w:val="et-EE"/>
              </w:rPr>
              <w:t>.</w:t>
            </w:r>
          </w:p>
        </w:tc>
      </w:tr>
      <w:tr w:rsidR="00066C2F" w:rsidRPr="00FD5087" w14:paraId="276F8E31"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1AF784EC" w14:textId="77777777" w:rsidR="00066C2F" w:rsidRPr="00FD5087" w:rsidRDefault="00A72ADE" w:rsidP="00A72ADE">
            <w:pPr>
              <w:spacing w:beforeLines="60" w:before="144"/>
              <w:rPr>
                <w:rFonts w:cs="Arial"/>
                <w:b/>
                <w:sz w:val="18"/>
                <w:szCs w:val="18"/>
                <w:lang w:val="et-EE"/>
              </w:rPr>
            </w:pPr>
            <w:r w:rsidRPr="00FD5087">
              <w:rPr>
                <w:rFonts w:cs="Arial"/>
                <w:b/>
                <w:bCs w:val="0"/>
                <w:sz w:val="18"/>
                <w:szCs w:val="18"/>
                <w:lang w:val="et-EE"/>
              </w:rPr>
              <w:lastRenderedPageBreak/>
              <w:t>4.2. Vajadus uue tervikliku sotsiaalmajandusliku mõju hindamise järele</w:t>
            </w:r>
          </w:p>
          <w:p w14:paraId="1DD064DD" w14:textId="3A69B071" w:rsidR="00A72ADE" w:rsidRPr="00FD5087" w:rsidRDefault="00A72ADE" w:rsidP="00A72ADE">
            <w:pPr>
              <w:spacing w:beforeLines="60" w:before="144"/>
              <w:rPr>
                <w:rFonts w:cs="Arial"/>
                <w:sz w:val="18"/>
                <w:szCs w:val="18"/>
                <w:lang w:val="et-EE"/>
              </w:rPr>
            </w:pPr>
            <w:r w:rsidRPr="00FD5087">
              <w:rPr>
                <w:rFonts w:cs="Arial"/>
                <w:sz w:val="18"/>
                <w:szCs w:val="18"/>
                <w:lang w:val="et-EE"/>
              </w:rPr>
              <w:t>Oleme seisukohal, et KMH raames tuleks täiendavalt läbi viia terviklik õlitehase sotsiaalmajandusliku</w:t>
            </w:r>
            <w:r w:rsidRPr="00FD5087">
              <w:rPr>
                <w:rFonts w:cs="Arial"/>
                <w:bCs w:val="0"/>
                <w:sz w:val="18"/>
                <w:szCs w:val="18"/>
                <w:lang w:val="et-EE"/>
              </w:rPr>
              <w:t xml:space="preserve"> </w:t>
            </w:r>
            <w:r w:rsidRPr="00FD5087">
              <w:rPr>
                <w:rFonts w:cs="Arial"/>
                <w:sz w:val="18"/>
                <w:szCs w:val="18"/>
                <w:lang w:val="et-EE"/>
              </w:rPr>
              <w:t>mõju hindamine, kuna praegused andmed ei võimalda otsustajal teha</w:t>
            </w:r>
            <w:r w:rsidRPr="00FD5087">
              <w:rPr>
                <w:rFonts w:cs="Arial"/>
                <w:bCs w:val="0"/>
                <w:sz w:val="18"/>
                <w:szCs w:val="18"/>
                <w:lang w:val="et-EE"/>
              </w:rPr>
              <w:t xml:space="preserve"> </w:t>
            </w:r>
            <w:r w:rsidRPr="00FD5087">
              <w:rPr>
                <w:rFonts w:cs="Arial"/>
                <w:sz w:val="18"/>
                <w:szCs w:val="18"/>
                <w:lang w:val="et-EE"/>
              </w:rPr>
              <w:t>õiguspärast kaalutlusotsust. Õlitehase puhul ei saa tugineda KSH aruande sotsiaalmajandusliku</w:t>
            </w:r>
            <w:r w:rsidRPr="00FD5087">
              <w:rPr>
                <w:rFonts w:cs="Arial"/>
                <w:bCs w:val="0"/>
                <w:sz w:val="18"/>
                <w:szCs w:val="18"/>
                <w:lang w:val="et-EE"/>
              </w:rPr>
              <w:t xml:space="preserve"> </w:t>
            </w:r>
            <w:r w:rsidRPr="00FD5087">
              <w:rPr>
                <w:rFonts w:cs="Arial"/>
                <w:sz w:val="18"/>
                <w:szCs w:val="18"/>
                <w:lang w:val="et-EE"/>
              </w:rPr>
              <w:t>(sh energiamajanduse) mõju hinnangule, kuna selles on olulisi puuduseid ning</w:t>
            </w:r>
            <w:r w:rsidRPr="00FD5087">
              <w:rPr>
                <w:rFonts w:cs="Arial"/>
                <w:bCs w:val="0"/>
                <w:sz w:val="18"/>
                <w:szCs w:val="18"/>
                <w:lang w:val="et-EE"/>
              </w:rPr>
              <w:t xml:space="preserve"> </w:t>
            </w:r>
            <w:r w:rsidRPr="00FD5087">
              <w:rPr>
                <w:rFonts w:cs="Arial"/>
                <w:sz w:val="18"/>
                <w:szCs w:val="18"/>
                <w:lang w:val="et-EE"/>
              </w:rPr>
              <w:t xml:space="preserve">see ei ole enam ajakohane. </w:t>
            </w:r>
            <w:r w:rsidRPr="00FD5087">
              <w:rPr>
                <w:rFonts w:cs="Arial"/>
                <w:b/>
                <w:bCs w:val="0"/>
                <w:sz w:val="18"/>
                <w:szCs w:val="18"/>
                <w:lang w:val="et-EE"/>
              </w:rPr>
              <w:t>Seepärast palume õlitehase sotsiaalmajanduslikku mõju tervikuna hinnata</w:t>
            </w:r>
            <w:r w:rsidRPr="00FD5087">
              <w:rPr>
                <w:rFonts w:cs="Arial"/>
                <w:sz w:val="18"/>
                <w:szCs w:val="18"/>
                <w:lang w:val="et-EE"/>
              </w:rPr>
              <w:t>. Järgnevalt põhjendame tervikliku sotsiaalmajandusliku mõju hinnangu</w:t>
            </w:r>
            <w:r w:rsidRPr="00FD5087">
              <w:rPr>
                <w:rFonts w:cs="Arial"/>
                <w:bCs w:val="0"/>
                <w:sz w:val="18"/>
                <w:szCs w:val="18"/>
                <w:lang w:val="et-EE"/>
              </w:rPr>
              <w:t xml:space="preserve"> </w:t>
            </w:r>
            <w:r w:rsidRPr="00FD5087">
              <w:rPr>
                <w:rFonts w:cs="Arial"/>
                <w:sz w:val="18"/>
                <w:szCs w:val="18"/>
                <w:lang w:val="et-EE"/>
              </w:rPr>
              <w:t>vajadust üksikasjalikult.</w:t>
            </w:r>
          </w:p>
        </w:tc>
        <w:tc>
          <w:tcPr>
            <w:tcW w:w="7377" w:type="dxa"/>
            <w:shd w:val="clear" w:color="auto" w:fill="FFFFFF" w:themeFill="background1"/>
            <w:vAlign w:val="top"/>
          </w:tcPr>
          <w:p w14:paraId="24759DA3" w14:textId="7D1F5AAA" w:rsidR="005D6F8B" w:rsidRDefault="005D6F8B" w:rsidP="009C70ED">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proofErr w:type="spellStart"/>
            <w:r w:rsidRPr="009C70ED">
              <w:rPr>
                <w:rFonts w:cs="Arial"/>
                <w:sz w:val="18"/>
                <w:szCs w:val="18"/>
                <w:lang w:val="et-EE"/>
              </w:rPr>
              <w:t>Sotsiaal-majandusliku</w:t>
            </w:r>
            <w:proofErr w:type="spellEnd"/>
            <w:r w:rsidRPr="009C70ED">
              <w:rPr>
                <w:rFonts w:cs="Arial"/>
                <w:sz w:val="18"/>
                <w:szCs w:val="18"/>
                <w:lang w:val="et-EE"/>
              </w:rPr>
              <w:t xml:space="preserve"> mõju hindamine ei ole otseselt keskkonnamõju hindamise ülesanne ja seda ei nähtud ette ka KMH programmis. Laiem ja terviklik sotsiaalmajandusliku mõju hindamine on osa strateegiliste arengudokumentide koostamise protsessist, sh on seda tehtud uute kliimaeesmärkide seadmisel. Arvestades, et põlevkivi kasutamise üleminekuperioodi on käsitletud viimati Õiglase ülemineku territoriaalses kavas</w:t>
            </w:r>
            <w:r w:rsidR="00987EFC" w:rsidRPr="009C70ED">
              <w:rPr>
                <w:rFonts w:cs="Arial"/>
                <w:sz w:val="18"/>
                <w:szCs w:val="18"/>
                <w:lang w:val="et-EE"/>
              </w:rPr>
              <w:t xml:space="preserve">, võib järeldada, et kohalduvad selle kava peatükkides 1.2 „Eeldatavalt kõige negatiivsemalt mõjutatud territooriumi määratlemine“ (selleks territooriumiks on Ida-Virumaa), </w:t>
            </w:r>
            <w:proofErr w:type="spellStart"/>
            <w:r w:rsidR="009C70ED" w:rsidRPr="009C70ED">
              <w:rPr>
                <w:rFonts w:cs="Arial"/>
                <w:sz w:val="18"/>
                <w:szCs w:val="18"/>
                <w:lang w:val="et-EE"/>
              </w:rPr>
              <w:t>ptk</w:t>
            </w:r>
            <w:proofErr w:type="spellEnd"/>
            <w:r w:rsidR="009C70ED" w:rsidRPr="009C70ED">
              <w:rPr>
                <w:rFonts w:cs="Arial"/>
                <w:sz w:val="18"/>
                <w:szCs w:val="18"/>
                <w:lang w:val="et-EE"/>
              </w:rPr>
              <w:t xml:space="preserve"> </w:t>
            </w:r>
            <w:r w:rsidR="00987EFC" w:rsidRPr="009C70ED">
              <w:rPr>
                <w:rFonts w:cs="Arial"/>
                <w:sz w:val="18"/>
                <w:szCs w:val="18"/>
                <w:lang w:val="et-EE"/>
              </w:rPr>
              <w:t>2</w:t>
            </w:r>
            <w:r w:rsidR="009C70ED" w:rsidRPr="009C70ED">
              <w:rPr>
                <w:rFonts w:cs="Arial"/>
                <w:sz w:val="18"/>
                <w:szCs w:val="18"/>
                <w:lang w:val="et-EE"/>
              </w:rPr>
              <w:t xml:space="preserve"> </w:t>
            </w:r>
            <w:r w:rsidR="00987EFC" w:rsidRPr="009C70ED">
              <w:rPr>
                <w:rFonts w:cs="Arial"/>
                <w:sz w:val="18"/>
                <w:szCs w:val="18"/>
                <w:lang w:val="et-EE"/>
              </w:rPr>
              <w:t>“Üleminekukatsumuste hindamine iga määratud territooriumi puhul“</w:t>
            </w:r>
            <w:r w:rsidR="009C70ED" w:rsidRPr="009C70ED">
              <w:rPr>
                <w:rFonts w:cs="Arial"/>
                <w:sz w:val="18"/>
                <w:szCs w:val="18"/>
                <w:lang w:val="et-EE"/>
              </w:rPr>
              <w:t>, mille alapeatükkides kirjeldatakse kliimaneutraalsele majandusele ülemineku majandusliku, sotsiaalse ja territoriaalse mõju hindamist</w:t>
            </w:r>
            <w:r w:rsidR="009C70ED">
              <w:rPr>
                <w:rFonts w:cs="Arial"/>
                <w:sz w:val="18"/>
                <w:szCs w:val="18"/>
                <w:lang w:val="et-EE"/>
              </w:rPr>
              <w:t>, seejärel seatakse arenguvajadused ja eesmärgid</w:t>
            </w:r>
            <w:r w:rsidR="009C70ED" w:rsidRPr="009C70ED">
              <w:rPr>
                <w:rFonts w:cs="Arial"/>
                <w:sz w:val="18"/>
                <w:szCs w:val="18"/>
                <w:lang w:val="et-EE"/>
              </w:rPr>
              <w:t xml:space="preserve"> </w:t>
            </w:r>
            <w:r w:rsidR="009C70ED">
              <w:rPr>
                <w:rFonts w:cs="Arial"/>
                <w:sz w:val="18"/>
                <w:szCs w:val="18"/>
                <w:lang w:val="et-EE"/>
              </w:rPr>
              <w:t xml:space="preserve">ning kirjeldatakse kavandatavaid tegevusi. </w:t>
            </w:r>
          </w:p>
          <w:p w14:paraId="0E4251B6" w14:textId="24EC8334" w:rsidR="00066C2F" w:rsidRDefault="009C70ED" w:rsidP="00F73B99">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Kuna põlevkivi energeetiline kasutamine moodustab </w:t>
            </w:r>
            <w:r w:rsidR="00446553">
              <w:rPr>
                <w:rFonts w:cs="Arial"/>
                <w:sz w:val="18"/>
                <w:szCs w:val="18"/>
                <w:lang w:val="et-EE"/>
              </w:rPr>
              <w:t xml:space="preserve">praegu </w:t>
            </w:r>
            <w:r>
              <w:rPr>
                <w:rFonts w:cs="Arial"/>
                <w:sz w:val="18"/>
                <w:szCs w:val="18"/>
                <w:lang w:val="et-EE"/>
              </w:rPr>
              <w:t xml:space="preserve">osa energiamajandusest, siis on ka </w:t>
            </w:r>
            <w:r w:rsidR="00446553">
              <w:rPr>
                <w:rFonts w:cs="Arial"/>
                <w:sz w:val="18"/>
                <w:szCs w:val="18"/>
                <w:lang w:val="et-EE"/>
              </w:rPr>
              <w:t>ENMAK 2035 koostamise raames tehtav mõju hindamine asjakohane. Lähtudes ENMAK 2035 KSH programmi eelnõust</w:t>
            </w:r>
            <w:r w:rsidR="00F73B99">
              <w:rPr>
                <w:rFonts w:cs="Arial"/>
                <w:sz w:val="18"/>
                <w:szCs w:val="18"/>
                <w:lang w:val="et-EE"/>
              </w:rPr>
              <w:t xml:space="preserve">, ei </w:t>
            </w:r>
            <w:r w:rsidR="00F73B99">
              <w:rPr>
                <w:rFonts w:cs="Arial"/>
                <w:sz w:val="18"/>
                <w:szCs w:val="18"/>
                <w:lang w:val="et-EE"/>
              </w:rPr>
              <w:lastRenderedPageBreak/>
              <w:t xml:space="preserve">kuulu </w:t>
            </w:r>
            <w:proofErr w:type="spellStart"/>
            <w:r w:rsidR="00F73B99">
              <w:rPr>
                <w:rFonts w:cs="Arial"/>
                <w:sz w:val="18"/>
                <w:szCs w:val="18"/>
                <w:lang w:val="et-EE"/>
              </w:rPr>
              <w:t>sotsiaal-majanduslike</w:t>
            </w:r>
            <w:proofErr w:type="spellEnd"/>
            <w:r w:rsidR="00F73B99">
              <w:rPr>
                <w:rFonts w:cs="Arial"/>
                <w:sz w:val="18"/>
                <w:szCs w:val="18"/>
                <w:lang w:val="et-EE"/>
              </w:rPr>
              <w:t xml:space="preserve"> mõjude hindamine hinnatavate keskkonnamõjude hulka (lähtutud on </w:t>
            </w:r>
            <w:proofErr w:type="spellStart"/>
            <w:r w:rsidR="00F73B99">
              <w:rPr>
                <w:rFonts w:cs="Arial"/>
                <w:sz w:val="18"/>
                <w:szCs w:val="18"/>
                <w:lang w:val="et-EE"/>
              </w:rPr>
              <w:t>KeHJS</w:t>
            </w:r>
            <w:proofErr w:type="spellEnd"/>
            <w:r w:rsidR="00F73B99">
              <w:rPr>
                <w:rFonts w:cs="Arial"/>
                <w:sz w:val="18"/>
                <w:szCs w:val="18"/>
                <w:lang w:val="et-EE"/>
              </w:rPr>
              <w:t xml:space="preserve"> sätetest ja Keskkonnaministeeriumi koostatud Keskkonnamõju strateegilise hindamise käsiraamatust), kuid </w:t>
            </w:r>
            <w:proofErr w:type="spellStart"/>
            <w:r w:rsidR="00F73B99">
              <w:rPr>
                <w:rFonts w:cs="Arial"/>
                <w:sz w:val="18"/>
                <w:szCs w:val="18"/>
                <w:lang w:val="et-EE"/>
              </w:rPr>
              <w:t>sotsiaal-majandusliku</w:t>
            </w:r>
            <w:proofErr w:type="spellEnd"/>
            <w:r w:rsidR="00F73B99">
              <w:rPr>
                <w:rFonts w:cs="Arial"/>
                <w:sz w:val="18"/>
                <w:szCs w:val="18"/>
                <w:lang w:val="et-EE"/>
              </w:rPr>
              <w:t xml:space="preserve"> mõju hindamine on kavas </w:t>
            </w:r>
            <w:r w:rsidR="00F73B99" w:rsidRPr="00F73B99">
              <w:rPr>
                <w:rFonts w:cs="Arial"/>
                <w:sz w:val="18"/>
                <w:szCs w:val="18"/>
                <w:lang w:val="et-EE"/>
              </w:rPr>
              <w:t>KSH protsessi väliselt vastavalt mõjude hindamise kontrollküsimustikule</w:t>
            </w:r>
            <w:r w:rsidR="00F73B99">
              <w:rPr>
                <w:rFonts w:cs="Arial"/>
                <w:sz w:val="18"/>
                <w:szCs w:val="18"/>
                <w:lang w:val="et-EE"/>
              </w:rPr>
              <w:t>, mis on osaks Justiitsministeeriumi ja Riigikantselei mõjude hindamise metoodikast.</w:t>
            </w:r>
          </w:p>
          <w:p w14:paraId="5EBA2D7A" w14:textId="5F489FF9" w:rsidR="00F73B99" w:rsidRPr="00FD5087" w:rsidRDefault="00F73B99" w:rsidP="00F73B99">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Ka järgnevad üksikasjalikud </w:t>
            </w:r>
            <w:r w:rsidRPr="00F73B99">
              <w:rPr>
                <w:rFonts w:cs="Arial"/>
                <w:sz w:val="18"/>
                <w:szCs w:val="18"/>
                <w:lang w:val="et-EE"/>
              </w:rPr>
              <w:t>sotsiaalmajandusliku mõju hinnangu vajadus</w:t>
            </w:r>
            <w:r>
              <w:rPr>
                <w:rFonts w:cs="Arial"/>
                <w:sz w:val="18"/>
                <w:szCs w:val="18"/>
                <w:lang w:val="et-EE"/>
              </w:rPr>
              <w:t xml:space="preserve">e põhjendused ei tingi strateegiliste arengudokumentide raames läbiviidava tervikliku </w:t>
            </w:r>
            <w:proofErr w:type="spellStart"/>
            <w:r>
              <w:rPr>
                <w:rFonts w:cs="Arial"/>
                <w:sz w:val="18"/>
                <w:szCs w:val="18"/>
                <w:lang w:val="et-EE"/>
              </w:rPr>
              <w:t>sotsiaal-majandusliku</w:t>
            </w:r>
            <w:proofErr w:type="spellEnd"/>
            <w:r>
              <w:rPr>
                <w:rFonts w:cs="Arial"/>
                <w:sz w:val="18"/>
                <w:szCs w:val="18"/>
                <w:lang w:val="et-EE"/>
              </w:rPr>
              <w:t xml:space="preserve"> mõju hindamise toomist ühe arendusprojekti KMH-</w:t>
            </w:r>
            <w:proofErr w:type="spellStart"/>
            <w:r>
              <w:rPr>
                <w:rFonts w:cs="Arial"/>
                <w:sz w:val="18"/>
                <w:szCs w:val="18"/>
                <w:lang w:val="et-EE"/>
              </w:rPr>
              <w:t>sse</w:t>
            </w:r>
            <w:proofErr w:type="spellEnd"/>
            <w:r>
              <w:rPr>
                <w:rFonts w:cs="Arial"/>
                <w:sz w:val="18"/>
                <w:szCs w:val="18"/>
                <w:lang w:val="et-EE"/>
              </w:rPr>
              <w:t xml:space="preserve">. Nendele põhjendustele on vastatud lühidalt, kordamata eeltoodud üldisi kaalutlusi.  </w:t>
            </w:r>
          </w:p>
        </w:tc>
      </w:tr>
      <w:tr w:rsidR="00A72ADE" w:rsidRPr="00FD5087" w14:paraId="7C9B7DD5"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327A04D9" w14:textId="77777777" w:rsidR="00A72ADE" w:rsidRPr="00FD5087" w:rsidRDefault="00A34663" w:rsidP="009647D3">
            <w:pPr>
              <w:spacing w:beforeLines="60" w:before="144"/>
              <w:rPr>
                <w:rFonts w:cs="Arial"/>
                <w:b/>
                <w:sz w:val="18"/>
                <w:szCs w:val="18"/>
                <w:lang w:val="et-EE"/>
              </w:rPr>
            </w:pPr>
            <w:r w:rsidRPr="00FD5087">
              <w:rPr>
                <w:rFonts w:cs="Arial"/>
                <w:b/>
                <w:bCs w:val="0"/>
                <w:sz w:val="18"/>
                <w:szCs w:val="18"/>
                <w:lang w:val="et-EE"/>
              </w:rPr>
              <w:lastRenderedPageBreak/>
              <w:t>4.2.1 Ülekaaluka huvi ja mõistlike alternatiivide tuvastamine</w:t>
            </w:r>
          </w:p>
          <w:p w14:paraId="5A7C261A" w14:textId="3DB3226A" w:rsidR="00A34663" w:rsidRPr="00FD5087" w:rsidRDefault="00A34663" w:rsidP="00A34663">
            <w:pPr>
              <w:spacing w:beforeLines="60" w:before="144"/>
              <w:rPr>
                <w:rFonts w:cs="Arial"/>
                <w:sz w:val="18"/>
                <w:szCs w:val="18"/>
                <w:lang w:val="et-EE"/>
              </w:rPr>
            </w:pPr>
            <w:r w:rsidRPr="00FD5087">
              <w:rPr>
                <w:rFonts w:cs="Arial"/>
                <w:sz w:val="18"/>
                <w:szCs w:val="18"/>
                <w:lang w:val="et-EE"/>
              </w:rPr>
              <w:t>Kompleksloa üle otsuse tegemiseks on Keskkonnaamet kohustatud välja selgitama</w:t>
            </w:r>
            <w:r w:rsidRPr="00FD5087">
              <w:rPr>
                <w:rFonts w:cs="Arial"/>
                <w:bCs w:val="0"/>
                <w:sz w:val="18"/>
                <w:szCs w:val="18"/>
                <w:lang w:val="et-EE"/>
              </w:rPr>
              <w:t xml:space="preserve"> </w:t>
            </w:r>
            <w:r w:rsidRPr="00FD5087">
              <w:rPr>
                <w:rFonts w:cs="Arial"/>
                <w:sz w:val="18"/>
                <w:szCs w:val="18"/>
                <w:lang w:val="et-EE"/>
              </w:rPr>
              <w:t>menetletavas asjas olulise tähendusega asjaolud (HMS § 6) ning kaalutlusõiguse teostamisel</w:t>
            </w:r>
            <w:r w:rsidRPr="00FD5087">
              <w:rPr>
                <w:rFonts w:cs="Arial"/>
                <w:bCs w:val="0"/>
                <w:sz w:val="18"/>
                <w:szCs w:val="18"/>
                <w:lang w:val="et-EE"/>
              </w:rPr>
              <w:t xml:space="preserve"> </w:t>
            </w:r>
            <w:r w:rsidRPr="00FD5087">
              <w:rPr>
                <w:rFonts w:cs="Arial"/>
                <w:sz w:val="18"/>
                <w:szCs w:val="18"/>
                <w:lang w:val="et-EE"/>
              </w:rPr>
              <w:t>neid arvesse võtma ning kaaluma põhjendatud huve (HMS § 4 lg 2). Kuna KMH aruandes on</w:t>
            </w:r>
            <w:r w:rsidRPr="00FD5087">
              <w:rPr>
                <w:rFonts w:cs="Arial"/>
                <w:bCs w:val="0"/>
                <w:sz w:val="18"/>
                <w:szCs w:val="18"/>
                <w:lang w:val="et-EE"/>
              </w:rPr>
              <w:t xml:space="preserve"> </w:t>
            </w:r>
            <w:r w:rsidRPr="00FD5087">
              <w:rPr>
                <w:rFonts w:cs="Arial"/>
                <w:sz w:val="18"/>
                <w:szCs w:val="18"/>
                <w:lang w:val="et-EE"/>
              </w:rPr>
              <w:t>selgunud, et õlitehase käitamine põhjustab keskkonnaohtu, mida ei ole võimalik vältida (vt</w:t>
            </w:r>
            <w:r w:rsidRPr="00FD5087">
              <w:rPr>
                <w:rFonts w:cs="Arial"/>
                <w:bCs w:val="0"/>
                <w:sz w:val="18"/>
                <w:szCs w:val="18"/>
                <w:lang w:val="et-EE"/>
              </w:rPr>
              <w:t xml:space="preserve"> </w:t>
            </w:r>
            <w:r w:rsidRPr="00FD5087">
              <w:rPr>
                <w:rFonts w:cs="Arial"/>
                <w:sz w:val="18"/>
                <w:szCs w:val="18"/>
                <w:lang w:val="et-EE"/>
              </w:rPr>
              <w:t xml:space="preserve">käesoleva seisukoha p 3.2 ja 3.3), saab sellisele tegevusele kompleksloa anda üksnes, </w:t>
            </w:r>
            <w:r w:rsidRPr="00FD5087">
              <w:rPr>
                <w:rFonts w:cs="Arial"/>
                <w:sz w:val="18"/>
                <w:szCs w:val="18"/>
                <w:u w:val="single"/>
                <w:lang w:val="et-EE"/>
              </w:rPr>
              <w:t>kui</w:t>
            </w:r>
            <w:r w:rsidRPr="00FD5087">
              <w:rPr>
                <w:rFonts w:cs="Arial"/>
                <w:bCs w:val="0"/>
                <w:sz w:val="18"/>
                <w:szCs w:val="18"/>
                <w:u w:val="single"/>
                <w:lang w:val="et-EE"/>
              </w:rPr>
              <w:t xml:space="preserve"> </w:t>
            </w:r>
            <w:r w:rsidRPr="00FD5087">
              <w:rPr>
                <w:rFonts w:cs="Arial"/>
                <w:sz w:val="18"/>
                <w:szCs w:val="18"/>
                <w:u w:val="single"/>
                <w:lang w:val="et-EE"/>
              </w:rPr>
              <w:t>huvi loa andmiseks on ülekaalukas ja tegevusel puudub mõistlik alternatiiv ning on võetud ohu</w:t>
            </w:r>
            <w:r w:rsidRPr="00FD5087">
              <w:rPr>
                <w:rFonts w:cs="Arial"/>
                <w:bCs w:val="0"/>
                <w:sz w:val="18"/>
                <w:szCs w:val="18"/>
                <w:u w:val="single"/>
                <w:lang w:val="et-EE"/>
              </w:rPr>
              <w:t xml:space="preserve"> </w:t>
            </w:r>
            <w:r w:rsidRPr="00FD5087">
              <w:rPr>
                <w:rFonts w:cs="Arial"/>
                <w:sz w:val="18"/>
                <w:szCs w:val="18"/>
                <w:u w:val="single"/>
                <w:lang w:val="et-EE"/>
              </w:rPr>
              <w:t>vähendamise meetmeid</w:t>
            </w:r>
            <w:r w:rsidRPr="00FD5087">
              <w:rPr>
                <w:rFonts w:cs="Arial"/>
                <w:sz w:val="18"/>
                <w:szCs w:val="18"/>
                <w:lang w:val="et-EE"/>
              </w:rPr>
              <w:t xml:space="preserve"> (</w:t>
            </w:r>
            <w:proofErr w:type="spellStart"/>
            <w:r w:rsidRPr="00FD5087">
              <w:rPr>
                <w:rFonts w:cs="Arial"/>
                <w:sz w:val="18"/>
                <w:szCs w:val="18"/>
                <w:lang w:val="et-EE"/>
              </w:rPr>
              <w:t>KeÜS</w:t>
            </w:r>
            <w:proofErr w:type="spellEnd"/>
            <w:r w:rsidRPr="00FD5087">
              <w:rPr>
                <w:rFonts w:cs="Arial"/>
                <w:sz w:val="18"/>
                <w:szCs w:val="18"/>
                <w:lang w:val="et-EE"/>
              </w:rPr>
              <w:t xml:space="preserve"> § 52 lg 1 p 6; </w:t>
            </w:r>
            <w:proofErr w:type="spellStart"/>
            <w:r w:rsidRPr="00FD5087">
              <w:rPr>
                <w:rFonts w:cs="Arial"/>
                <w:sz w:val="18"/>
                <w:szCs w:val="18"/>
                <w:lang w:val="et-EE"/>
              </w:rPr>
              <w:t>KeÜS</w:t>
            </w:r>
            <w:proofErr w:type="spellEnd"/>
            <w:r w:rsidRPr="00FD5087">
              <w:rPr>
                <w:rFonts w:cs="Arial"/>
                <w:sz w:val="18"/>
                <w:szCs w:val="18"/>
                <w:lang w:val="et-EE"/>
              </w:rPr>
              <w:t xml:space="preserve"> § 10). See eeldab põhjalikku kaalumist</w:t>
            </w:r>
            <w:r w:rsidRPr="00FD5087">
              <w:rPr>
                <w:rFonts w:cs="Arial"/>
                <w:bCs w:val="0"/>
                <w:sz w:val="18"/>
                <w:szCs w:val="18"/>
                <w:lang w:val="et-EE"/>
              </w:rPr>
              <w:t xml:space="preserve"> </w:t>
            </w:r>
            <w:r w:rsidRPr="00FD5087">
              <w:rPr>
                <w:rFonts w:cs="Arial"/>
                <w:sz w:val="18"/>
                <w:szCs w:val="18"/>
                <w:lang w:val="et-EE"/>
              </w:rPr>
              <w:t>ning välja selgitamist, kas esineb taoline ülekaalukas huvi loa andmiseks ja kas puuduvad</w:t>
            </w:r>
            <w:r w:rsidRPr="00FD5087">
              <w:rPr>
                <w:rFonts w:cs="Arial"/>
                <w:bCs w:val="0"/>
                <w:sz w:val="18"/>
                <w:szCs w:val="18"/>
                <w:lang w:val="et-EE"/>
              </w:rPr>
              <w:t xml:space="preserve"> </w:t>
            </w:r>
            <w:r w:rsidRPr="00FD5087">
              <w:rPr>
                <w:rFonts w:cs="Arial"/>
                <w:sz w:val="18"/>
                <w:szCs w:val="18"/>
                <w:lang w:val="et-EE"/>
              </w:rPr>
              <w:t xml:space="preserve">mõistlikud alternatiivid. Kahtlemata on siin oluline roll </w:t>
            </w:r>
            <w:proofErr w:type="spellStart"/>
            <w:r w:rsidRPr="00FD5087">
              <w:rPr>
                <w:rFonts w:cs="Arial"/>
                <w:sz w:val="18"/>
                <w:szCs w:val="18"/>
                <w:lang w:val="et-EE"/>
              </w:rPr>
              <w:t>sotsiaal-majandusliku</w:t>
            </w:r>
            <w:proofErr w:type="spellEnd"/>
            <w:r w:rsidRPr="00FD5087">
              <w:rPr>
                <w:rFonts w:cs="Arial"/>
                <w:sz w:val="18"/>
                <w:szCs w:val="18"/>
                <w:lang w:val="et-EE"/>
              </w:rPr>
              <w:t xml:space="preserve"> mõju hinnangul.</w:t>
            </w:r>
          </w:p>
        </w:tc>
        <w:tc>
          <w:tcPr>
            <w:tcW w:w="7377" w:type="dxa"/>
            <w:shd w:val="clear" w:color="auto" w:fill="FFFFFF" w:themeFill="background1"/>
            <w:vAlign w:val="top"/>
          </w:tcPr>
          <w:p w14:paraId="44472EC0" w14:textId="77777777" w:rsidR="00A72ADE" w:rsidRPr="00FD5087" w:rsidRDefault="00A72ADE" w:rsidP="009647D3">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p>
          <w:p w14:paraId="67CE9E4A" w14:textId="01703AAF" w:rsidR="001C17E3" w:rsidRPr="00FD5087" w:rsidRDefault="009C70ED" w:rsidP="009647D3">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Punktile 3.2 antud vastusest tuleneb, et e</w:t>
            </w:r>
            <w:r w:rsidR="001C17E3" w:rsidRPr="00FD5087">
              <w:rPr>
                <w:rFonts w:cs="Arial"/>
                <w:sz w:val="18"/>
                <w:szCs w:val="18"/>
                <w:lang w:val="et-EE"/>
              </w:rPr>
              <w:t>i ole tõendat</w:t>
            </w:r>
            <w:r>
              <w:rPr>
                <w:rFonts w:cs="Arial"/>
                <w:sz w:val="18"/>
                <w:szCs w:val="18"/>
                <w:lang w:val="et-EE"/>
              </w:rPr>
              <w:t>av</w:t>
            </w:r>
            <w:r w:rsidR="008719A9">
              <w:rPr>
                <w:rFonts w:cs="Arial"/>
                <w:sz w:val="18"/>
                <w:szCs w:val="18"/>
                <w:lang w:val="et-EE"/>
              </w:rPr>
              <w:t>,</w:t>
            </w:r>
            <w:r w:rsidR="001C17E3" w:rsidRPr="00FD5087">
              <w:rPr>
                <w:rFonts w:cs="Arial"/>
                <w:sz w:val="18"/>
                <w:szCs w:val="18"/>
                <w:lang w:val="et-EE"/>
              </w:rPr>
              <w:t xml:space="preserve"> et selline oht tekib.</w:t>
            </w:r>
            <w:r>
              <w:rPr>
                <w:rFonts w:cs="Arial"/>
                <w:sz w:val="18"/>
                <w:szCs w:val="18"/>
                <w:lang w:val="et-EE"/>
              </w:rPr>
              <w:t xml:space="preserve"> S</w:t>
            </w:r>
            <w:r w:rsidR="00F73B99">
              <w:rPr>
                <w:rFonts w:cs="Arial"/>
                <w:sz w:val="18"/>
                <w:szCs w:val="18"/>
                <w:lang w:val="et-EE"/>
              </w:rPr>
              <w:t xml:space="preserve">eetõttu ei ole põhjendatud ka viidatud </w:t>
            </w:r>
            <w:proofErr w:type="spellStart"/>
            <w:r w:rsidR="00F73B99">
              <w:rPr>
                <w:rFonts w:cs="Arial"/>
                <w:sz w:val="18"/>
                <w:szCs w:val="18"/>
                <w:lang w:val="et-EE"/>
              </w:rPr>
              <w:t>KeÜS</w:t>
            </w:r>
            <w:proofErr w:type="spellEnd"/>
            <w:r w:rsidR="00F73B99">
              <w:rPr>
                <w:rFonts w:cs="Arial"/>
                <w:sz w:val="18"/>
                <w:szCs w:val="18"/>
                <w:lang w:val="et-EE"/>
              </w:rPr>
              <w:t xml:space="preserve"> paragrahvide rakendamine.</w:t>
            </w:r>
            <w:r>
              <w:rPr>
                <w:rFonts w:cs="Arial"/>
                <w:sz w:val="18"/>
                <w:szCs w:val="18"/>
                <w:lang w:val="et-EE"/>
              </w:rPr>
              <w:t xml:space="preserve"> </w:t>
            </w:r>
          </w:p>
        </w:tc>
      </w:tr>
      <w:tr w:rsidR="00A72ADE" w:rsidRPr="00FD5087" w14:paraId="5D7BFC97"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2FC1212E" w14:textId="77777777" w:rsidR="00A72ADE" w:rsidRPr="00FD5087" w:rsidRDefault="00D65F77" w:rsidP="009647D3">
            <w:pPr>
              <w:spacing w:beforeLines="60" w:before="144"/>
              <w:rPr>
                <w:rFonts w:cs="Arial"/>
                <w:b/>
                <w:bCs w:val="0"/>
                <w:sz w:val="18"/>
                <w:szCs w:val="18"/>
                <w:lang w:val="et-EE"/>
              </w:rPr>
            </w:pPr>
            <w:r w:rsidRPr="00FD5087">
              <w:rPr>
                <w:rFonts w:cs="Arial"/>
                <w:b/>
                <w:bCs w:val="0"/>
                <w:sz w:val="18"/>
                <w:szCs w:val="18"/>
                <w:lang w:val="et-EE"/>
              </w:rPr>
              <w:t xml:space="preserve">4.2.2 Muutused võrreldes </w:t>
            </w:r>
            <w:proofErr w:type="spellStart"/>
            <w:r w:rsidRPr="00FD5087">
              <w:rPr>
                <w:rFonts w:cs="Arial"/>
                <w:b/>
                <w:bCs w:val="0"/>
                <w:sz w:val="18"/>
                <w:szCs w:val="18"/>
                <w:lang w:val="et-EE"/>
              </w:rPr>
              <w:t>Auvere</w:t>
            </w:r>
            <w:proofErr w:type="spellEnd"/>
            <w:r w:rsidRPr="00FD5087">
              <w:rPr>
                <w:rFonts w:cs="Arial"/>
                <w:b/>
                <w:bCs w:val="0"/>
                <w:sz w:val="18"/>
                <w:szCs w:val="18"/>
                <w:lang w:val="et-EE"/>
              </w:rPr>
              <w:t xml:space="preserve"> KSH koostamise ajaga</w:t>
            </w:r>
          </w:p>
          <w:p w14:paraId="15DFFCC8" w14:textId="2193545D" w:rsidR="00D65F77" w:rsidRPr="00FD5087" w:rsidRDefault="00D65F77" w:rsidP="00D65F77">
            <w:pPr>
              <w:spacing w:beforeLines="60" w:before="144"/>
              <w:rPr>
                <w:rFonts w:cs="Arial"/>
                <w:sz w:val="18"/>
                <w:szCs w:val="18"/>
                <w:lang w:val="et-EE"/>
              </w:rPr>
            </w:pPr>
            <w:r w:rsidRPr="00FD5087">
              <w:rPr>
                <w:rFonts w:cs="Arial"/>
                <w:sz w:val="18"/>
                <w:szCs w:val="18"/>
                <w:u w:val="single"/>
                <w:lang w:val="et-EE"/>
              </w:rPr>
              <w:t xml:space="preserve">Võrreldes </w:t>
            </w:r>
            <w:proofErr w:type="spellStart"/>
            <w:r w:rsidRPr="00FD5087">
              <w:rPr>
                <w:rFonts w:cs="Arial"/>
                <w:sz w:val="18"/>
                <w:szCs w:val="18"/>
                <w:u w:val="single"/>
                <w:lang w:val="et-EE"/>
              </w:rPr>
              <w:t>Auvere</w:t>
            </w:r>
            <w:proofErr w:type="spellEnd"/>
            <w:r w:rsidRPr="00FD5087">
              <w:rPr>
                <w:rFonts w:cs="Arial"/>
                <w:sz w:val="18"/>
                <w:szCs w:val="18"/>
                <w:u w:val="single"/>
                <w:lang w:val="et-EE"/>
              </w:rPr>
              <w:t xml:space="preserve"> KSH aruande koostamise ajaga on toimunud märkimisväärseid muutusi</w:t>
            </w:r>
            <w:r w:rsidRPr="00FD5087">
              <w:rPr>
                <w:rFonts w:cs="Arial"/>
                <w:sz w:val="18"/>
                <w:szCs w:val="18"/>
                <w:lang w:val="et-EE"/>
              </w:rPr>
              <w:t>.</w:t>
            </w:r>
            <w:r w:rsidRPr="00FD5087">
              <w:rPr>
                <w:rFonts w:cs="Arial"/>
                <w:bCs w:val="0"/>
                <w:sz w:val="18"/>
                <w:szCs w:val="18"/>
                <w:lang w:val="et-EE"/>
              </w:rPr>
              <w:t xml:space="preserve"> </w:t>
            </w:r>
            <w:r w:rsidRPr="00FD5087">
              <w:rPr>
                <w:rFonts w:cs="Arial"/>
                <w:sz w:val="18"/>
                <w:szCs w:val="18"/>
                <w:lang w:val="et-EE"/>
              </w:rPr>
              <w:t>Seda nenditakse ka KMH aruandes, viidates kliimaregulatsiooni karmistumisele ELi ja Eesti</w:t>
            </w:r>
            <w:r w:rsidRPr="00FD5087">
              <w:rPr>
                <w:rFonts w:cs="Arial"/>
                <w:bCs w:val="0"/>
                <w:sz w:val="18"/>
                <w:szCs w:val="18"/>
                <w:lang w:val="et-EE"/>
              </w:rPr>
              <w:t xml:space="preserve"> </w:t>
            </w:r>
            <w:r w:rsidRPr="00FD5087">
              <w:rPr>
                <w:rFonts w:cs="Arial"/>
                <w:sz w:val="18"/>
                <w:szCs w:val="18"/>
                <w:lang w:val="et-EE"/>
              </w:rPr>
              <w:t xml:space="preserve">õiguses, et „Nende muudatuste ja eesmärkide kontekstis ei ole praegu </w:t>
            </w:r>
            <w:r w:rsidRPr="00FD5087">
              <w:rPr>
                <w:rFonts w:cs="Arial"/>
                <w:sz w:val="18"/>
                <w:szCs w:val="18"/>
                <w:lang w:val="et-EE"/>
              </w:rPr>
              <w:lastRenderedPageBreak/>
              <w:t>kavandatavale</w:t>
            </w:r>
            <w:r w:rsidRPr="00FD5087">
              <w:rPr>
                <w:rFonts w:cs="Arial"/>
                <w:bCs w:val="0"/>
                <w:sz w:val="18"/>
                <w:szCs w:val="18"/>
                <w:lang w:val="et-EE"/>
              </w:rPr>
              <w:t xml:space="preserve"> </w:t>
            </w:r>
            <w:r w:rsidRPr="00FD5087">
              <w:rPr>
                <w:rFonts w:cs="Arial"/>
                <w:sz w:val="18"/>
                <w:szCs w:val="18"/>
                <w:lang w:val="et-EE"/>
              </w:rPr>
              <w:t>Enefit280-2 õlitehasele lisaks veel kolme täiendava Enefit280 õlitehase rajamine enam</w:t>
            </w:r>
            <w:r w:rsidRPr="00FD5087">
              <w:rPr>
                <w:rFonts w:cs="Arial"/>
                <w:bCs w:val="0"/>
                <w:sz w:val="18"/>
                <w:szCs w:val="18"/>
                <w:lang w:val="et-EE"/>
              </w:rPr>
              <w:t xml:space="preserve"> </w:t>
            </w:r>
            <w:r w:rsidRPr="00FD5087">
              <w:rPr>
                <w:rFonts w:cs="Arial"/>
                <w:sz w:val="18"/>
                <w:szCs w:val="18"/>
                <w:u w:val="single"/>
                <w:lang w:val="et-EE"/>
              </w:rPr>
              <w:t>otstarbekas</w:t>
            </w:r>
            <w:r w:rsidRPr="00FD5087">
              <w:rPr>
                <w:rFonts w:cs="Arial"/>
                <w:sz w:val="18"/>
                <w:szCs w:val="18"/>
                <w:lang w:val="et-EE"/>
              </w:rPr>
              <w:t>“ (lk 13). Teisisõnu tunnistatakse, et toimunud on sedavõrd olulised muudatused,</w:t>
            </w:r>
            <w:r w:rsidRPr="00FD5087">
              <w:rPr>
                <w:rFonts w:cs="Arial"/>
                <w:bCs w:val="0"/>
                <w:sz w:val="18"/>
                <w:szCs w:val="18"/>
                <w:lang w:val="et-EE"/>
              </w:rPr>
              <w:t xml:space="preserve"> </w:t>
            </w:r>
            <w:r w:rsidRPr="00FD5087">
              <w:rPr>
                <w:rFonts w:cs="Arial"/>
                <w:sz w:val="18"/>
                <w:szCs w:val="18"/>
                <w:lang w:val="et-EE"/>
              </w:rPr>
              <w:t xml:space="preserve">sh </w:t>
            </w:r>
            <w:proofErr w:type="spellStart"/>
            <w:r w:rsidRPr="00FD5087">
              <w:rPr>
                <w:rFonts w:cs="Arial"/>
                <w:sz w:val="18"/>
                <w:szCs w:val="18"/>
                <w:lang w:val="et-EE"/>
              </w:rPr>
              <w:t>sotsiaal-majanduslikes</w:t>
            </w:r>
            <w:proofErr w:type="spellEnd"/>
            <w:r w:rsidRPr="00FD5087">
              <w:rPr>
                <w:rFonts w:cs="Arial"/>
                <w:sz w:val="18"/>
                <w:szCs w:val="18"/>
                <w:lang w:val="et-EE"/>
              </w:rPr>
              <w:t xml:space="preserve"> aspektides, et kogu detailplaneeringu elluviimine pole enam</w:t>
            </w:r>
            <w:r w:rsidRPr="00FD5087">
              <w:rPr>
                <w:rFonts w:cs="Arial"/>
                <w:bCs w:val="0"/>
                <w:sz w:val="18"/>
                <w:szCs w:val="18"/>
                <w:lang w:val="et-EE"/>
              </w:rPr>
              <w:t xml:space="preserve"> </w:t>
            </w:r>
            <w:r w:rsidRPr="00FD5087">
              <w:rPr>
                <w:rFonts w:cs="Arial"/>
                <w:sz w:val="18"/>
                <w:szCs w:val="18"/>
                <w:lang w:val="et-EE"/>
              </w:rPr>
              <w:t>otstarbekas. See omakorda tähendab, et ka kõnealuse õlitehase osas on vaja ajakohastada</w:t>
            </w:r>
            <w:r w:rsidRPr="00FD5087">
              <w:rPr>
                <w:rFonts w:cs="Arial"/>
                <w:bCs w:val="0"/>
                <w:sz w:val="18"/>
                <w:szCs w:val="18"/>
                <w:lang w:val="et-EE"/>
              </w:rPr>
              <w:t xml:space="preserve"> </w:t>
            </w:r>
            <w:proofErr w:type="spellStart"/>
            <w:r w:rsidRPr="00FD5087">
              <w:rPr>
                <w:rFonts w:cs="Arial"/>
                <w:sz w:val="18"/>
                <w:szCs w:val="18"/>
                <w:lang w:val="et-EE"/>
              </w:rPr>
              <w:t>sotsiaal-majandusliku</w:t>
            </w:r>
            <w:proofErr w:type="spellEnd"/>
            <w:r w:rsidRPr="00FD5087">
              <w:rPr>
                <w:rFonts w:cs="Arial"/>
                <w:sz w:val="18"/>
                <w:szCs w:val="18"/>
                <w:lang w:val="et-EE"/>
              </w:rPr>
              <w:t xml:space="preserve"> mõju analüüsi. </w:t>
            </w:r>
            <w:proofErr w:type="spellStart"/>
            <w:r w:rsidRPr="00FD5087">
              <w:rPr>
                <w:rFonts w:cs="Arial"/>
                <w:sz w:val="18"/>
                <w:szCs w:val="18"/>
                <w:lang w:val="et-EE"/>
              </w:rPr>
              <w:t>Muuhu</w:t>
            </w:r>
            <w:r w:rsidR="005C2057">
              <w:rPr>
                <w:rFonts w:cs="Arial"/>
                <w:sz w:val="18"/>
                <w:szCs w:val="18"/>
                <w:lang w:val="et-EE"/>
              </w:rPr>
              <w:t>K</w:t>
            </w:r>
            <w:r w:rsidRPr="00FD5087">
              <w:rPr>
                <w:rFonts w:cs="Arial"/>
                <w:sz w:val="18"/>
                <w:szCs w:val="18"/>
                <w:lang w:val="et-EE"/>
              </w:rPr>
              <w:t>lgas</w:t>
            </w:r>
            <w:proofErr w:type="spellEnd"/>
            <w:r w:rsidRPr="00FD5087">
              <w:rPr>
                <w:rFonts w:cs="Arial"/>
                <w:sz w:val="18"/>
                <w:szCs w:val="18"/>
                <w:lang w:val="et-EE"/>
              </w:rPr>
              <w:t xml:space="preserve"> sõltub õlitehase majanduslik mõju ilmselgelt</w:t>
            </w:r>
            <w:r w:rsidRPr="00FD5087">
              <w:rPr>
                <w:rFonts w:cs="Arial"/>
                <w:bCs w:val="0"/>
                <w:sz w:val="18"/>
                <w:szCs w:val="18"/>
                <w:lang w:val="et-EE"/>
              </w:rPr>
              <w:t xml:space="preserve"> </w:t>
            </w:r>
            <w:r w:rsidRPr="00FD5087">
              <w:rPr>
                <w:rFonts w:cs="Arial"/>
                <w:sz w:val="18"/>
                <w:szCs w:val="18"/>
                <w:lang w:val="et-EE"/>
              </w:rPr>
              <w:t xml:space="preserve">paljuski </w:t>
            </w:r>
            <w:r w:rsidRPr="00FD5087">
              <w:rPr>
                <w:rFonts w:cs="Arial"/>
                <w:sz w:val="18"/>
                <w:szCs w:val="18"/>
                <w:u w:val="single"/>
                <w:lang w:val="et-EE"/>
              </w:rPr>
              <w:t xml:space="preserve">EL </w:t>
            </w:r>
            <w:proofErr w:type="spellStart"/>
            <w:r w:rsidRPr="00FD5087">
              <w:rPr>
                <w:rFonts w:cs="Arial"/>
                <w:sz w:val="18"/>
                <w:szCs w:val="18"/>
                <w:u w:val="single"/>
                <w:lang w:val="et-EE"/>
              </w:rPr>
              <w:t>HKSi</w:t>
            </w:r>
            <w:proofErr w:type="spellEnd"/>
            <w:r w:rsidRPr="00FD5087">
              <w:rPr>
                <w:rFonts w:cs="Arial"/>
                <w:sz w:val="18"/>
                <w:szCs w:val="18"/>
                <w:u w:val="single"/>
                <w:lang w:val="et-EE"/>
              </w:rPr>
              <w:t xml:space="preserve"> regulatsiooni muudatustest</w:t>
            </w:r>
            <w:r w:rsidRPr="00FD5087">
              <w:rPr>
                <w:rFonts w:cs="Arial"/>
                <w:sz w:val="18"/>
                <w:szCs w:val="18"/>
                <w:lang w:val="et-EE"/>
              </w:rPr>
              <w:t>, mis on ka KMH aruandes välja toodud (lk 19),</w:t>
            </w:r>
            <w:r w:rsidRPr="00FD5087">
              <w:rPr>
                <w:rFonts w:cs="Arial"/>
                <w:bCs w:val="0"/>
                <w:sz w:val="18"/>
                <w:szCs w:val="18"/>
                <w:lang w:val="et-EE"/>
              </w:rPr>
              <w:t xml:space="preserve"> </w:t>
            </w:r>
            <w:r w:rsidRPr="00FD5087">
              <w:rPr>
                <w:rFonts w:cs="Arial"/>
                <w:sz w:val="18"/>
                <w:szCs w:val="18"/>
                <w:lang w:val="et-EE"/>
              </w:rPr>
              <w:t>ent andmata on jäetud hinnang, kuidas see ikkagi mõjutab kogu projekti otstarbekust ja</w:t>
            </w:r>
            <w:r w:rsidRPr="00FD5087">
              <w:rPr>
                <w:rFonts w:cs="Arial"/>
                <w:bCs w:val="0"/>
                <w:sz w:val="18"/>
                <w:szCs w:val="18"/>
                <w:lang w:val="et-EE"/>
              </w:rPr>
              <w:t xml:space="preserve"> </w:t>
            </w:r>
            <w:r w:rsidRPr="00FD5087">
              <w:rPr>
                <w:rFonts w:cs="Arial"/>
                <w:sz w:val="18"/>
                <w:szCs w:val="18"/>
                <w:lang w:val="et-EE"/>
              </w:rPr>
              <w:t xml:space="preserve">riskantsust. </w:t>
            </w:r>
            <w:r w:rsidRPr="00FD5087">
              <w:rPr>
                <w:rFonts w:cs="Arial"/>
                <w:b/>
                <w:bCs w:val="0"/>
                <w:sz w:val="18"/>
                <w:szCs w:val="18"/>
                <w:lang w:val="et-EE"/>
              </w:rPr>
              <w:t xml:space="preserve">Palume anda </w:t>
            </w:r>
            <w:proofErr w:type="spellStart"/>
            <w:r w:rsidRPr="00FD5087">
              <w:rPr>
                <w:rFonts w:cs="Arial"/>
                <w:b/>
                <w:bCs w:val="0"/>
                <w:sz w:val="18"/>
                <w:szCs w:val="18"/>
                <w:lang w:val="et-EE"/>
              </w:rPr>
              <w:t>sotsiaal-majanduslikku</w:t>
            </w:r>
            <w:proofErr w:type="spellEnd"/>
            <w:r w:rsidRPr="00FD5087">
              <w:rPr>
                <w:rFonts w:cs="Arial"/>
                <w:b/>
                <w:bCs w:val="0"/>
                <w:sz w:val="18"/>
                <w:szCs w:val="18"/>
                <w:lang w:val="et-EE"/>
              </w:rPr>
              <w:t xml:space="preserve"> mõju hinnates hinnang ka sellele, kuidas mõjutavad EL HKS regulatsiooni muudatused Enefit280-2 seadme otstarbekust ja riskantsust.</w:t>
            </w:r>
          </w:p>
        </w:tc>
        <w:tc>
          <w:tcPr>
            <w:tcW w:w="7377" w:type="dxa"/>
            <w:shd w:val="clear" w:color="auto" w:fill="FFFFFF" w:themeFill="background1"/>
            <w:vAlign w:val="top"/>
          </w:tcPr>
          <w:p w14:paraId="65CECCF8" w14:textId="164069D3" w:rsidR="00A72ADE" w:rsidRPr="00FD5087" w:rsidRDefault="00446553" w:rsidP="603E8256">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603E8256">
              <w:rPr>
                <w:rFonts w:cs="Arial"/>
                <w:sz w:val="18"/>
                <w:szCs w:val="18"/>
                <w:lang w:val="et-EE"/>
              </w:rPr>
              <w:lastRenderedPageBreak/>
              <w:t xml:space="preserve">Aruandes </w:t>
            </w:r>
            <w:proofErr w:type="spellStart"/>
            <w:r w:rsidRPr="603E8256">
              <w:rPr>
                <w:rFonts w:cs="Arial"/>
                <w:sz w:val="18"/>
                <w:szCs w:val="18"/>
                <w:lang w:val="et-EE"/>
              </w:rPr>
              <w:t>tõepoolest</w:t>
            </w:r>
            <w:proofErr w:type="spellEnd"/>
            <w:r w:rsidRPr="603E8256">
              <w:rPr>
                <w:rFonts w:cs="Arial"/>
                <w:sz w:val="18"/>
                <w:szCs w:val="18"/>
                <w:lang w:val="et-EE"/>
              </w:rPr>
              <w:t xml:space="preserve"> nenditakse, et toimunud on olulised regulatiivsed arengud, mistõttu on ettevõttel põhjust muuta varasemaid plaane. See muudatus puudutab praegu kavandatavale lisaks veel täiendavate õlitehaste ehitamist. Lisame selgituseks, et ettevõte ei suuda üheaegselt mitut õlitehast ehitada ja kui võtta tehase ehitamise perioodi pikkuseks 4 aastat, siis valmiks detailplaneeringus ettenähtud neljas õlitehas umbes 2036 aastal. Võttes </w:t>
            </w:r>
            <w:r w:rsidRPr="603E8256">
              <w:rPr>
                <w:rFonts w:cs="Arial"/>
                <w:sz w:val="18"/>
                <w:szCs w:val="18"/>
                <w:lang w:val="et-EE"/>
              </w:rPr>
              <w:lastRenderedPageBreak/>
              <w:t xml:space="preserve">arvesse nii </w:t>
            </w:r>
            <w:r>
              <w:rPr>
                <w:rFonts w:cs="Arial"/>
                <w:sz w:val="18"/>
                <w:szCs w:val="18"/>
                <w:lang w:val="et-EE"/>
              </w:rPr>
              <w:t>E</w:t>
            </w:r>
            <w:r w:rsidRPr="603E8256">
              <w:rPr>
                <w:rFonts w:cs="Arial"/>
                <w:sz w:val="18"/>
                <w:szCs w:val="18"/>
                <w:lang w:val="et-EE"/>
              </w:rPr>
              <w:t xml:space="preserve">esti, kui EL-i kliimapoliitilisi eesmärke, kui ka eeldatavat nõudluse langust fossiilsete vedelkütuste järele ei ole sel perioodil uue õlitehase </w:t>
            </w:r>
            <w:proofErr w:type="spellStart"/>
            <w:r w:rsidRPr="603E8256">
              <w:rPr>
                <w:rFonts w:cs="Arial"/>
                <w:sz w:val="18"/>
                <w:szCs w:val="18"/>
                <w:lang w:val="et-EE"/>
              </w:rPr>
              <w:t>käikuandmine</w:t>
            </w:r>
            <w:proofErr w:type="spellEnd"/>
            <w:r w:rsidRPr="603E8256">
              <w:rPr>
                <w:rFonts w:cs="Arial"/>
                <w:sz w:val="18"/>
                <w:szCs w:val="18"/>
                <w:lang w:val="et-EE"/>
              </w:rPr>
              <w:t xml:space="preserve"> enam põhjendatud.</w:t>
            </w:r>
            <w:r w:rsidR="2ADF3523" w:rsidRPr="603E8256">
              <w:rPr>
                <w:rFonts w:cs="Arial"/>
                <w:sz w:val="18"/>
                <w:szCs w:val="18"/>
                <w:lang w:val="et-EE"/>
              </w:rPr>
              <w:t xml:space="preserve"> </w:t>
            </w:r>
            <w:r w:rsidRPr="603E8256">
              <w:rPr>
                <w:rFonts w:cs="Arial"/>
                <w:sz w:val="18"/>
                <w:szCs w:val="18"/>
                <w:lang w:val="et-EE"/>
              </w:rPr>
              <w:t>Need asjaolud ei mõjuta sedavõrd aga hetkel ehitatavat tehast, et nimetada selle ehitamist ebaotstarbekaks.</w:t>
            </w:r>
            <w:r w:rsidR="00F73B99">
              <w:rPr>
                <w:rFonts w:cs="Arial"/>
                <w:sz w:val="18"/>
                <w:szCs w:val="18"/>
                <w:lang w:val="et-EE"/>
              </w:rPr>
              <w:t xml:space="preserve"> Regulatiivsete muudatustega kaasnevaid </w:t>
            </w:r>
            <w:proofErr w:type="spellStart"/>
            <w:r w:rsidR="00F73B99">
              <w:rPr>
                <w:rFonts w:cs="Arial"/>
                <w:sz w:val="18"/>
                <w:szCs w:val="18"/>
                <w:lang w:val="et-EE"/>
              </w:rPr>
              <w:t>sotsiaal-majanduslikke</w:t>
            </w:r>
            <w:proofErr w:type="spellEnd"/>
            <w:r w:rsidR="00F73B99">
              <w:rPr>
                <w:rFonts w:cs="Arial"/>
                <w:sz w:val="18"/>
                <w:szCs w:val="18"/>
                <w:lang w:val="et-EE"/>
              </w:rPr>
              <w:t xml:space="preserve"> ja keskkonnamõjusid tuleb ühiselt hinnata vastavalt eelnevalt viidatud Riigikantselei hindamismetoodikale, seejuures arvesse võttes kõiki tegevusi, millele need muudatused mõju avaldada võivad.  </w:t>
            </w:r>
          </w:p>
          <w:p w14:paraId="4CF13B47" w14:textId="1D800100" w:rsidR="00A72ADE" w:rsidRPr="00FD5087" w:rsidRDefault="00446553" w:rsidP="603E8256">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603E8256">
              <w:rPr>
                <w:rFonts w:cs="Arial"/>
                <w:sz w:val="18"/>
                <w:szCs w:val="18"/>
                <w:lang w:val="et-EE"/>
              </w:rPr>
              <w:t xml:space="preserve">Mis puudutab kavandatavaid EL HKS-i muudatusi, siis 2030. aasta perspektiivis need praegu kehtivatesse reeglitesse olulisi muudatusi kaasa ei too. 2030. aasta järgse perioodi kohta on hetkel veel liiga vara </w:t>
            </w:r>
            <w:r>
              <w:rPr>
                <w:rFonts w:cs="Arial"/>
                <w:sz w:val="18"/>
                <w:szCs w:val="18"/>
                <w:lang w:val="et-EE"/>
              </w:rPr>
              <w:t xml:space="preserve">EL HKS kohta </w:t>
            </w:r>
            <w:r w:rsidRPr="603E8256">
              <w:rPr>
                <w:rFonts w:cs="Arial"/>
                <w:sz w:val="18"/>
                <w:szCs w:val="18"/>
                <w:lang w:val="et-EE"/>
              </w:rPr>
              <w:t>prognoose teha.</w:t>
            </w:r>
          </w:p>
        </w:tc>
      </w:tr>
      <w:tr w:rsidR="00155D17" w:rsidRPr="00FD5087" w14:paraId="12149600"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74E44614" w14:textId="77777777" w:rsidR="00155D17" w:rsidRPr="00FD5087" w:rsidRDefault="00155D17" w:rsidP="009647D3">
            <w:pPr>
              <w:spacing w:beforeLines="60" w:before="144"/>
              <w:rPr>
                <w:rFonts w:cs="Arial"/>
                <w:b/>
                <w:bCs w:val="0"/>
                <w:sz w:val="18"/>
                <w:szCs w:val="18"/>
                <w:lang w:val="et-EE"/>
              </w:rPr>
            </w:pPr>
            <w:r w:rsidRPr="00FD5087">
              <w:rPr>
                <w:rFonts w:cs="Arial"/>
                <w:b/>
                <w:bCs w:val="0"/>
                <w:sz w:val="18"/>
                <w:szCs w:val="18"/>
                <w:lang w:val="et-EE"/>
              </w:rPr>
              <w:lastRenderedPageBreak/>
              <w:t>4.2.3 Elektritootmine ja varustuskindlus</w:t>
            </w:r>
          </w:p>
          <w:p w14:paraId="65FCE7CC" w14:textId="0CAC78C5" w:rsidR="00155D17" w:rsidRPr="00FD5087" w:rsidRDefault="00155D17" w:rsidP="00155D17">
            <w:pPr>
              <w:spacing w:beforeLines="60" w:before="144"/>
              <w:rPr>
                <w:rFonts w:cs="Arial"/>
                <w:sz w:val="18"/>
                <w:szCs w:val="18"/>
                <w:lang w:val="et-EE"/>
              </w:rPr>
            </w:pPr>
            <w:r w:rsidRPr="00FD5087">
              <w:rPr>
                <w:rFonts w:cs="Arial"/>
                <w:sz w:val="18"/>
                <w:szCs w:val="18"/>
                <w:lang w:val="et-EE"/>
              </w:rPr>
              <w:t xml:space="preserve">KMH aruandes on suurt rõhku pandud </w:t>
            </w:r>
            <w:r w:rsidRPr="00FD5087">
              <w:rPr>
                <w:rFonts w:cs="Arial"/>
                <w:sz w:val="18"/>
                <w:szCs w:val="18"/>
                <w:u w:val="single"/>
                <w:lang w:val="et-EE"/>
              </w:rPr>
              <w:t>Eesti energiamajanduse arengute ning</w:t>
            </w:r>
            <w:r w:rsidRPr="00FD5087">
              <w:rPr>
                <w:rFonts w:cs="Arial"/>
                <w:bCs w:val="0"/>
                <w:sz w:val="18"/>
                <w:szCs w:val="18"/>
                <w:u w:val="single"/>
                <w:lang w:val="et-EE"/>
              </w:rPr>
              <w:t xml:space="preserve"> </w:t>
            </w:r>
            <w:r w:rsidRPr="00FD5087">
              <w:rPr>
                <w:rFonts w:cs="Arial"/>
                <w:sz w:val="18"/>
                <w:szCs w:val="18"/>
                <w:u w:val="single"/>
                <w:lang w:val="et-EE"/>
              </w:rPr>
              <w:t>varustuskindluse</w:t>
            </w:r>
            <w:r w:rsidRPr="00FD5087">
              <w:rPr>
                <w:rFonts w:cs="Arial"/>
                <w:sz w:val="18"/>
                <w:szCs w:val="18"/>
                <w:lang w:val="et-EE"/>
              </w:rPr>
              <w:t xml:space="preserve"> teema lahkamisele (</w:t>
            </w:r>
            <w:proofErr w:type="spellStart"/>
            <w:r w:rsidRPr="00FD5087">
              <w:rPr>
                <w:rFonts w:cs="Arial"/>
                <w:sz w:val="18"/>
                <w:szCs w:val="18"/>
                <w:lang w:val="et-EE"/>
              </w:rPr>
              <w:t>ptk</w:t>
            </w:r>
            <w:proofErr w:type="spellEnd"/>
            <w:r w:rsidRPr="00FD5087">
              <w:rPr>
                <w:rFonts w:cs="Arial"/>
                <w:sz w:val="18"/>
                <w:szCs w:val="18"/>
                <w:lang w:val="et-EE"/>
              </w:rPr>
              <w:t xml:space="preserve"> 3.2), mis tegelikult on osa laiemast sotsiaalmajandusliku</w:t>
            </w:r>
            <w:r w:rsidRPr="00FD5087">
              <w:rPr>
                <w:rFonts w:cs="Arial"/>
                <w:bCs w:val="0"/>
                <w:sz w:val="18"/>
                <w:szCs w:val="18"/>
                <w:lang w:val="et-EE"/>
              </w:rPr>
              <w:t xml:space="preserve"> </w:t>
            </w:r>
            <w:r w:rsidRPr="00FD5087">
              <w:rPr>
                <w:rFonts w:cs="Arial"/>
                <w:sz w:val="18"/>
                <w:szCs w:val="18"/>
                <w:lang w:val="et-EE"/>
              </w:rPr>
              <w:t>mõju hindamisest. Samas jääb viidatud peatükk järelduste osas lakooniliseks,</w:t>
            </w:r>
            <w:r w:rsidRPr="00FD5087">
              <w:rPr>
                <w:rFonts w:cs="Arial"/>
                <w:bCs w:val="0"/>
                <w:sz w:val="18"/>
                <w:szCs w:val="18"/>
                <w:lang w:val="et-EE"/>
              </w:rPr>
              <w:t xml:space="preserve"> </w:t>
            </w:r>
            <w:r w:rsidRPr="00FD5087">
              <w:rPr>
                <w:rFonts w:cs="Arial"/>
                <w:sz w:val="18"/>
                <w:szCs w:val="18"/>
                <w:lang w:val="et-EE"/>
              </w:rPr>
              <w:t>sh jääb ebaselgeks, milline vajadus on õlitehase järele elektri tootmise ja varustuskindluse</w:t>
            </w:r>
            <w:r w:rsidRPr="00FD5087">
              <w:rPr>
                <w:rFonts w:cs="Arial"/>
                <w:bCs w:val="0"/>
                <w:sz w:val="18"/>
                <w:szCs w:val="18"/>
                <w:lang w:val="et-EE"/>
              </w:rPr>
              <w:t xml:space="preserve"> </w:t>
            </w:r>
            <w:r w:rsidRPr="00FD5087">
              <w:rPr>
                <w:rFonts w:cs="Arial"/>
                <w:sz w:val="18"/>
                <w:szCs w:val="18"/>
                <w:lang w:val="et-EE"/>
              </w:rPr>
              <w:t xml:space="preserve">aspektist. Juhime tähelepanu, et Eesti riik on seadnud eesmärgi toota Eestis 2030. </w:t>
            </w:r>
            <w:r w:rsidRPr="00FD5087">
              <w:rPr>
                <w:rFonts w:cs="Arial"/>
                <w:bCs w:val="0"/>
                <w:sz w:val="18"/>
                <w:szCs w:val="18"/>
                <w:lang w:val="et-EE"/>
              </w:rPr>
              <w:t>A</w:t>
            </w:r>
            <w:r w:rsidRPr="00FD5087">
              <w:rPr>
                <w:rFonts w:cs="Arial"/>
                <w:sz w:val="18"/>
                <w:szCs w:val="18"/>
                <w:lang w:val="et-EE"/>
              </w:rPr>
              <w:t>astal</w:t>
            </w:r>
            <w:r w:rsidRPr="00FD5087">
              <w:rPr>
                <w:rFonts w:cs="Arial"/>
                <w:bCs w:val="0"/>
                <w:sz w:val="18"/>
                <w:szCs w:val="18"/>
                <w:lang w:val="et-EE"/>
              </w:rPr>
              <w:t xml:space="preserve"> </w:t>
            </w:r>
            <w:r w:rsidRPr="00FD5087">
              <w:rPr>
                <w:rFonts w:cs="Arial"/>
                <w:sz w:val="18"/>
                <w:szCs w:val="18"/>
                <w:lang w:val="et-EE"/>
              </w:rPr>
              <w:t>sama palju elektrit taastuvatest allikatest kui Eestis kokku tarbitakse ning Eleringi analüüsi</w:t>
            </w:r>
            <w:r w:rsidRPr="00FD5087">
              <w:rPr>
                <w:rFonts w:cs="Arial"/>
                <w:bCs w:val="0"/>
                <w:sz w:val="18"/>
                <w:szCs w:val="18"/>
                <w:lang w:val="et-EE"/>
              </w:rPr>
              <w:t xml:space="preserve"> </w:t>
            </w:r>
            <w:r w:rsidRPr="00FD5087">
              <w:rPr>
                <w:rFonts w:cs="Arial"/>
                <w:sz w:val="18"/>
                <w:szCs w:val="18"/>
                <w:lang w:val="et-EE"/>
              </w:rPr>
              <w:t>kohaselt on Eesti varustuskindlus vähemalt 2037. aastani tagatud ka ilma Enefit-280</w:t>
            </w:r>
            <w:r w:rsidRPr="00FD5087">
              <w:rPr>
                <w:rFonts w:cs="Arial"/>
                <w:bCs w:val="0"/>
                <w:sz w:val="18"/>
                <w:szCs w:val="18"/>
                <w:lang w:val="et-EE"/>
              </w:rPr>
              <w:t xml:space="preserve"> </w:t>
            </w:r>
            <w:r w:rsidRPr="00FD5087">
              <w:rPr>
                <w:rFonts w:cs="Arial"/>
                <w:sz w:val="18"/>
                <w:szCs w:val="18"/>
                <w:lang w:val="et-EE"/>
              </w:rPr>
              <w:t>seadmeid arvestamata (KMH aruande lk 15). 2031. aastal on Eesti Energial kavas</w:t>
            </w:r>
            <w:r w:rsidRPr="00FD5087">
              <w:rPr>
                <w:rFonts w:cs="Arial"/>
                <w:bCs w:val="0"/>
                <w:sz w:val="18"/>
                <w:szCs w:val="18"/>
                <w:lang w:val="et-EE"/>
              </w:rPr>
              <w:t xml:space="preserve"> </w:t>
            </w:r>
            <w:r w:rsidRPr="00FD5087">
              <w:rPr>
                <w:rFonts w:cs="Arial"/>
                <w:sz w:val="18"/>
                <w:szCs w:val="18"/>
                <w:lang w:val="et-EE"/>
              </w:rPr>
              <w:t>hüpoteetilise lahendusena kasutusele võtta uttegaasist metanooli valmistamise tehas (lk 31),</w:t>
            </w:r>
            <w:r w:rsidRPr="00FD5087">
              <w:rPr>
                <w:rFonts w:cs="Arial"/>
                <w:bCs w:val="0"/>
                <w:sz w:val="18"/>
                <w:szCs w:val="18"/>
                <w:lang w:val="et-EE"/>
              </w:rPr>
              <w:t xml:space="preserve"> </w:t>
            </w:r>
            <w:r w:rsidRPr="00FD5087">
              <w:rPr>
                <w:rFonts w:cs="Arial"/>
                <w:sz w:val="18"/>
                <w:szCs w:val="18"/>
                <w:lang w:val="et-EE"/>
              </w:rPr>
              <w:t>mistõttu ei toodetaks enam uttegaasist elektrit ja väheneks Enefit280-2 seadmest turule</w:t>
            </w:r>
            <w:r w:rsidRPr="00FD5087">
              <w:rPr>
                <w:rFonts w:cs="Arial"/>
                <w:bCs w:val="0"/>
                <w:sz w:val="18"/>
                <w:szCs w:val="18"/>
                <w:lang w:val="et-EE"/>
              </w:rPr>
              <w:t xml:space="preserve"> </w:t>
            </w:r>
            <w:r w:rsidRPr="00FD5087">
              <w:rPr>
                <w:rFonts w:cs="Arial"/>
                <w:sz w:val="18"/>
                <w:szCs w:val="18"/>
                <w:lang w:val="et-EE"/>
              </w:rPr>
              <w:t>müüdava elektri kogus (lk 42). Nõnda ei saaks Enefit280-2 seade alates 2031. aastast enam</w:t>
            </w:r>
            <w:r w:rsidRPr="00FD5087">
              <w:rPr>
                <w:rFonts w:cs="Arial"/>
                <w:bCs w:val="0"/>
                <w:sz w:val="18"/>
                <w:szCs w:val="18"/>
                <w:lang w:val="et-EE"/>
              </w:rPr>
              <w:t xml:space="preserve"> </w:t>
            </w:r>
            <w:r w:rsidRPr="00FD5087">
              <w:rPr>
                <w:rFonts w:cs="Arial"/>
                <w:sz w:val="18"/>
                <w:szCs w:val="18"/>
                <w:lang w:val="et-EE"/>
              </w:rPr>
              <w:t>nii või teisiti toetada Eesti elektri varustuskindlust. Kui Enefit280-2 seade aga igapäevaselt</w:t>
            </w:r>
            <w:r w:rsidRPr="00FD5087">
              <w:rPr>
                <w:rFonts w:cs="Arial"/>
                <w:bCs w:val="0"/>
                <w:sz w:val="18"/>
                <w:szCs w:val="18"/>
                <w:lang w:val="et-EE"/>
              </w:rPr>
              <w:t xml:space="preserve"> </w:t>
            </w:r>
            <w:r w:rsidRPr="00FD5087">
              <w:rPr>
                <w:rFonts w:cs="Arial"/>
                <w:sz w:val="18"/>
                <w:szCs w:val="18"/>
                <w:lang w:val="et-EE"/>
              </w:rPr>
              <w:t>osaleb elektriturul, ei saa see kuuluda Eesti elektritootmise strateegilisse reservi (lk 17).</w:t>
            </w:r>
            <w:r w:rsidRPr="00FD5087">
              <w:rPr>
                <w:rFonts w:cs="Arial"/>
                <w:bCs w:val="0"/>
                <w:sz w:val="18"/>
                <w:szCs w:val="18"/>
                <w:lang w:val="et-EE"/>
              </w:rPr>
              <w:t xml:space="preserve"> </w:t>
            </w:r>
            <w:r w:rsidRPr="00FD5087">
              <w:rPr>
                <w:rFonts w:cs="Arial"/>
                <w:sz w:val="18"/>
                <w:szCs w:val="18"/>
                <w:lang w:val="et-EE"/>
              </w:rPr>
              <w:t xml:space="preserve">Oluline on siin ka </w:t>
            </w:r>
            <w:r w:rsidRPr="00FD5087">
              <w:rPr>
                <w:rFonts w:cs="Arial"/>
                <w:sz w:val="18"/>
                <w:szCs w:val="18"/>
                <w:lang w:val="et-EE"/>
              </w:rPr>
              <w:lastRenderedPageBreak/>
              <w:t>asjaolu, et juba praegu on planeerimisel mitu korda suuremas mahus</w:t>
            </w:r>
            <w:r w:rsidRPr="00FD5087">
              <w:rPr>
                <w:rFonts w:cs="Arial"/>
                <w:bCs w:val="0"/>
                <w:sz w:val="18"/>
                <w:szCs w:val="18"/>
                <w:lang w:val="et-EE"/>
              </w:rPr>
              <w:t xml:space="preserve"> </w:t>
            </w:r>
            <w:r w:rsidRPr="00FD5087">
              <w:rPr>
                <w:rFonts w:cs="Arial"/>
                <w:sz w:val="18"/>
                <w:szCs w:val="18"/>
                <w:lang w:val="et-EE"/>
              </w:rPr>
              <w:t xml:space="preserve">tuuleparke (ligi 4000 MW), kui </w:t>
            </w:r>
            <w:proofErr w:type="spellStart"/>
            <w:r w:rsidRPr="00FD5087">
              <w:rPr>
                <w:rFonts w:cs="Arial"/>
                <w:sz w:val="18"/>
                <w:szCs w:val="18"/>
                <w:lang w:val="et-EE"/>
              </w:rPr>
              <w:t>EnKS</w:t>
            </w:r>
            <w:proofErr w:type="spellEnd"/>
            <w:r w:rsidRPr="00FD5087">
              <w:rPr>
                <w:rFonts w:cs="Arial"/>
                <w:sz w:val="18"/>
                <w:szCs w:val="18"/>
                <w:lang w:val="et-EE"/>
              </w:rPr>
              <w:t xml:space="preserve"> 100% taastuvenergia eesmärgi täitmiseks oli kavas (vt</w:t>
            </w:r>
            <w:r w:rsidRPr="00FD5087">
              <w:rPr>
                <w:rFonts w:cs="Arial"/>
                <w:bCs w:val="0"/>
                <w:sz w:val="18"/>
                <w:szCs w:val="18"/>
                <w:lang w:val="et-EE"/>
              </w:rPr>
              <w:t xml:space="preserve"> </w:t>
            </w:r>
            <w:proofErr w:type="spellStart"/>
            <w:r w:rsidRPr="00FD5087">
              <w:rPr>
                <w:rFonts w:cs="Arial"/>
                <w:sz w:val="18"/>
                <w:szCs w:val="18"/>
                <w:lang w:val="et-EE"/>
              </w:rPr>
              <w:t>RaM</w:t>
            </w:r>
            <w:proofErr w:type="spellEnd"/>
            <w:r w:rsidRPr="00FD5087">
              <w:rPr>
                <w:rFonts w:cs="Arial"/>
                <w:sz w:val="18"/>
                <w:szCs w:val="18"/>
                <w:lang w:val="et-EE"/>
              </w:rPr>
              <w:t xml:space="preserve"> 27.02.23 seisukoha p 5). Seega nähtub eeltoodust, et elektritootmise ja varustuskindluse</w:t>
            </w:r>
            <w:r w:rsidRPr="00FD5087">
              <w:rPr>
                <w:rFonts w:cs="Arial"/>
                <w:bCs w:val="0"/>
                <w:sz w:val="18"/>
                <w:szCs w:val="18"/>
                <w:lang w:val="et-EE"/>
              </w:rPr>
              <w:t xml:space="preserve"> </w:t>
            </w:r>
            <w:r w:rsidRPr="00FD5087">
              <w:rPr>
                <w:rFonts w:cs="Arial"/>
                <w:sz w:val="18"/>
                <w:szCs w:val="18"/>
                <w:lang w:val="et-EE"/>
              </w:rPr>
              <w:t xml:space="preserve">tagamise avaliku huvi rahuldamiseks </w:t>
            </w:r>
            <w:r w:rsidRPr="00FD5087">
              <w:rPr>
                <w:rFonts w:cs="Arial"/>
                <w:b/>
                <w:bCs w:val="0"/>
                <w:sz w:val="18"/>
                <w:szCs w:val="18"/>
                <w:lang w:val="et-EE"/>
              </w:rPr>
              <w:t>on olemas mõistlik alternatiiv Enefit280-2 seadme rajamise asemel, mis tuleb ka selge järeldusena aruandes välja tuua.</w:t>
            </w:r>
          </w:p>
        </w:tc>
        <w:tc>
          <w:tcPr>
            <w:tcW w:w="7377" w:type="dxa"/>
            <w:shd w:val="clear" w:color="auto" w:fill="FFFFFF" w:themeFill="background1"/>
            <w:vAlign w:val="top"/>
          </w:tcPr>
          <w:p w14:paraId="1CD31B0D" w14:textId="2342F905" w:rsidR="00155D17" w:rsidRPr="00FD5087" w:rsidRDefault="005C2057" w:rsidP="603E8256">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lastRenderedPageBreak/>
              <w:t xml:space="preserve">Selgitame, et </w:t>
            </w:r>
            <w:r w:rsidR="001C17E3" w:rsidRPr="603E8256">
              <w:rPr>
                <w:rFonts w:cs="Arial"/>
                <w:sz w:val="18"/>
                <w:szCs w:val="18"/>
                <w:lang w:val="et-EE"/>
              </w:rPr>
              <w:t xml:space="preserve">Enefit280-2 </w:t>
            </w:r>
            <w:r w:rsidR="00F73B99" w:rsidRPr="603E8256">
              <w:rPr>
                <w:rFonts w:cs="Arial"/>
                <w:sz w:val="18"/>
                <w:szCs w:val="18"/>
                <w:lang w:val="et-EE"/>
              </w:rPr>
              <w:t>tehasel puudub märkimisväärne roll elektri varustuskindluse tagamisel</w:t>
            </w:r>
            <w:r>
              <w:rPr>
                <w:rFonts w:cs="Arial"/>
                <w:sz w:val="18"/>
                <w:szCs w:val="18"/>
                <w:lang w:val="et-EE"/>
              </w:rPr>
              <w:t xml:space="preserve"> ja ENMAK 2035 ei käsitle põlevkiviõli tootmisel Enefit280 seadmetel kaasnevat elektritoodangut üldse, seetõttu ei ole see ka alternatiiviks elektritootmise varustuskindluse tagamisel</w:t>
            </w:r>
            <w:r w:rsidR="731F7C12" w:rsidRPr="603E8256">
              <w:rPr>
                <w:rFonts w:cs="Arial"/>
                <w:sz w:val="18"/>
                <w:szCs w:val="18"/>
                <w:lang w:val="et-EE"/>
              </w:rPr>
              <w:t>.</w:t>
            </w:r>
            <w:r w:rsidR="001C17E3" w:rsidRPr="603E8256">
              <w:rPr>
                <w:rFonts w:cs="Arial"/>
                <w:sz w:val="18"/>
                <w:szCs w:val="18"/>
                <w:lang w:val="et-EE"/>
              </w:rPr>
              <w:t xml:space="preserve"> Teema o</w:t>
            </w:r>
            <w:r>
              <w:rPr>
                <w:rFonts w:cs="Arial"/>
                <w:sz w:val="18"/>
                <w:szCs w:val="18"/>
                <w:lang w:val="et-EE"/>
              </w:rPr>
              <w:t>n</w:t>
            </w:r>
            <w:r w:rsidR="001C17E3" w:rsidRPr="603E8256">
              <w:rPr>
                <w:rFonts w:cs="Arial"/>
                <w:sz w:val="18"/>
                <w:szCs w:val="18"/>
                <w:lang w:val="et-EE"/>
              </w:rPr>
              <w:t xml:space="preserve"> sisse toodud </w:t>
            </w:r>
            <w:r w:rsidR="00F73B99">
              <w:rPr>
                <w:rFonts w:cs="Arial"/>
                <w:sz w:val="18"/>
                <w:szCs w:val="18"/>
                <w:lang w:val="et-EE"/>
              </w:rPr>
              <w:t>KMH-</w:t>
            </w:r>
            <w:proofErr w:type="spellStart"/>
            <w:r w:rsidR="00F73B99" w:rsidRPr="603E8256">
              <w:rPr>
                <w:rFonts w:cs="Arial"/>
                <w:sz w:val="18"/>
                <w:szCs w:val="18"/>
                <w:lang w:val="et-EE"/>
              </w:rPr>
              <w:t>sse</w:t>
            </w:r>
            <w:proofErr w:type="spellEnd"/>
            <w:r w:rsidR="001C17E3" w:rsidRPr="603E8256">
              <w:rPr>
                <w:rFonts w:cs="Arial"/>
                <w:sz w:val="18"/>
                <w:szCs w:val="18"/>
                <w:lang w:val="et-EE"/>
              </w:rPr>
              <w:t>, et hinnata</w:t>
            </w:r>
            <w:r>
              <w:rPr>
                <w:rFonts w:cs="Arial"/>
                <w:sz w:val="18"/>
                <w:szCs w:val="18"/>
                <w:lang w:val="et-EE"/>
              </w:rPr>
              <w:t xml:space="preserve">, kas lähiaastateks on olemas piisav ressurss põlevkivi utmisel tekkivate gaaside põletamiseks elektrijaamades. Kuivõrd uttegaaside </w:t>
            </w:r>
            <w:proofErr w:type="spellStart"/>
            <w:r>
              <w:rPr>
                <w:rFonts w:cs="Arial"/>
                <w:sz w:val="18"/>
                <w:szCs w:val="18"/>
                <w:lang w:val="et-EE"/>
              </w:rPr>
              <w:t>väärindamise</w:t>
            </w:r>
            <w:proofErr w:type="spellEnd"/>
            <w:r>
              <w:rPr>
                <w:rFonts w:cs="Arial"/>
                <w:sz w:val="18"/>
                <w:szCs w:val="18"/>
                <w:lang w:val="et-EE"/>
              </w:rPr>
              <w:t xml:space="preserve"> projektid keemiatööstuse tooraineks realiseer</w:t>
            </w:r>
            <w:r w:rsidR="00EF512A">
              <w:rPr>
                <w:rFonts w:cs="Arial"/>
                <w:sz w:val="18"/>
                <w:szCs w:val="18"/>
                <w:lang w:val="et-EE"/>
              </w:rPr>
              <w:t>u</w:t>
            </w:r>
            <w:r>
              <w:rPr>
                <w:rFonts w:cs="Arial"/>
                <w:sz w:val="18"/>
                <w:szCs w:val="18"/>
                <w:lang w:val="et-EE"/>
              </w:rPr>
              <w:t xml:space="preserve">vad järk-järgult 2027-2033. aastal, siis on vajalik hinnata ka </w:t>
            </w:r>
            <w:r w:rsidR="00F73B99" w:rsidRPr="603E8256">
              <w:rPr>
                <w:rFonts w:cs="Arial"/>
                <w:sz w:val="18"/>
                <w:szCs w:val="18"/>
                <w:lang w:val="et-EE"/>
              </w:rPr>
              <w:t>olemasolevate</w:t>
            </w:r>
            <w:r w:rsidR="001C17E3" w:rsidRPr="603E8256">
              <w:rPr>
                <w:rFonts w:cs="Arial"/>
                <w:sz w:val="18"/>
                <w:szCs w:val="18"/>
                <w:lang w:val="et-EE"/>
              </w:rPr>
              <w:t xml:space="preserve"> elektrijaamad</w:t>
            </w:r>
            <w:r w:rsidR="00F73B99" w:rsidRPr="603E8256">
              <w:rPr>
                <w:rFonts w:cs="Arial"/>
                <w:sz w:val="18"/>
                <w:szCs w:val="18"/>
                <w:lang w:val="et-EE"/>
              </w:rPr>
              <w:t>e</w:t>
            </w:r>
            <w:r>
              <w:rPr>
                <w:rFonts w:cs="Arial"/>
                <w:sz w:val="18"/>
                <w:szCs w:val="18"/>
                <w:lang w:val="et-EE"/>
              </w:rPr>
              <w:t xml:space="preserve"> käitamisvõimalusi. </w:t>
            </w:r>
            <w:r w:rsidR="00F73B99" w:rsidRPr="603E8256">
              <w:rPr>
                <w:rFonts w:cs="Arial"/>
                <w:sz w:val="18"/>
                <w:szCs w:val="18"/>
                <w:lang w:val="et-EE"/>
              </w:rPr>
              <w:t xml:space="preserve"> </w:t>
            </w:r>
          </w:p>
          <w:p w14:paraId="32556BC8" w14:textId="5B57F999" w:rsidR="00A4651B" w:rsidRPr="00FD5087" w:rsidRDefault="00F73B99" w:rsidP="603E8256">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603E8256">
              <w:rPr>
                <w:rFonts w:cs="Arial"/>
                <w:sz w:val="18"/>
                <w:szCs w:val="18"/>
                <w:lang w:val="et-EE"/>
              </w:rPr>
              <w:t>Vahemärkusena lisame, et tuuleparkide lisandumine Eesti elektrisüsteemi ei võimalda päriselt lahendada elektri varustuskindluse probleeme</w:t>
            </w:r>
            <w:r w:rsidR="698CDEAB" w:rsidRPr="603E8256">
              <w:rPr>
                <w:rFonts w:cs="Arial"/>
                <w:sz w:val="18"/>
                <w:szCs w:val="18"/>
                <w:lang w:val="et-EE"/>
              </w:rPr>
              <w:t>.</w:t>
            </w:r>
            <w:r w:rsidRPr="603E8256">
              <w:rPr>
                <w:rFonts w:cs="Arial"/>
                <w:sz w:val="18"/>
                <w:szCs w:val="18"/>
                <w:lang w:val="et-EE"/>
              </w:rPr>
              <w:t xml:space="preserve"> Selleks on vajalik juhitavate elektritootmisvõimsuste olemasolu Eesti elektrisüsteemis, mille garanteerimiseks pakub Elering riigi valitsusele strateegilise reservi loomist</w:t>
            </w:r>
            <w:r w:rsidR="005C2057">
              <w:rPr>
                <w:rFonts w:cs="Arial"/>
                <w:sz w:val="18"/>
                <w:szCs w:val="18"/>
                <w:lang w:val="et-EE"/>
              </w:rPr>
              <w:t xml:space="preserve"> kuni aastani 2037</w:t>
            </w:r>
            <w:r w:rsidRPr="603E8256">
              <w:rPr>
                <w:rFonts w:cs="Arial"/>
                <w:sz w:val="18"/>
                <w:szCs w:val="18"/>
                <w:lang w:val="et-EE"/>
              </w:rPr>
              <w:t>.</w:t>
            </w:r>
            <w:r w:rsidR="005C2057">
              <w:rPr>
                <w:rFonts w:cs="Arial"/>
                <w:sz w:val="18"/>
                <w:szCs w:val="18"/>
                <w:lang w:val="et-EE"/>
              </w:rPr>
              <w:t xml:space="preserve"> Mis omakorda toob sisse teatud määramatuse põlevkivi energeetilise kasutamise osas, aga sellele on ka KMH aruandes </w:t>
            </w:r>
            <w:proofErr w:type="spellStart"/>
            <w:r w:rsidR="005C2057">
              <w:rPr>
                <w:rFonts w:cs="Arial"/>
                <w:sz w:val="18"/>
                <w:szCs w:val="18"/>
                <w:lang w:val="et-EE"/>
              </w:rPr>
              <w:t>ptk</w:t>
            </w:r>
            <w:proofErr w:type="spellEnd"/>
            <w:r w:rsidR="005C2057">
              <w:rPr>
                <w:rFonts w:cs="Arial"/>
                <w:sz w:val="18"/>
                <w:szCs w:val="18"/>
                <w:lang w:val="et-EE"/>
              </w:rPr>
              <w:t xml:space="preserve"> </w:t>
            </w:r>
            <w:r w:rsidR="00306E90">
              <w:rPr>
                <w:rFonts w:cs="Arial"/>
                <w:sz w:val="18"/>
                <w:szCs w:val="18"/>
                <w:lang w:val="et-EE"/>
              </w:rPr>
              <w:t xml:space="preserve">3.2 (pärast </w:t>
            </w:r>
            <w:proofErr w:type="spellStart"/>
            <w:r w:rsidR="00306E90">
              <w:rPr>
                <w:rFonts w:cs="Arial"/>
                <w:sz w:val="18"/>
                <w:szCs w:val="18"/>
                <w:lang w:val="et-EE"/>
              </w:rPr>
              <w:t>ptk</w:t>
            </w:r>
            <w:proofErr w:type="spellEnd"/>
            <w:r w:rsidR="00306E90">
              <w:rPr>
                <w:rFonts w:cs="Arial"/>
                <w:sz w:val="18"/>
                <w:szCs w:val="18"/>
                <w:lang w:val="et-EE"/>
              </w:rPr>
              <w:t xml:space="preserve"> 3 täiendamist </w:t>
            </w:r>
            <w:proofErr w:type="spellStart"/>
            <w:r w:rsidR="00306E90">
              <w:rPr>
                <w:rFonts w:cs="Arial"/>
                <w:sz w:val="18"/>
                <w:szCs w:val="18"/>
                <w:lang w:val="et-EE"/>
              </w:rPr>
              <w:t>ptk</w:t>
            </w:r>
            <w:proofErr w:type="spellEnd"/>
            <w:r w:rsidR="00306E90">
              <w:rPr>
                <w:rFonts w:cs="Arial"/>
                <w:sz w:val="18"/>
                <w:szCs w:val="18"/>
                <w:lang w:val="et-EE"/>
              </w:rPr>
              <w:t xml:space="preserve"> 3.3) kokkuvõttes üheselt viidatud. </w:t>
            </w:r>
          </w:p>
        </w:tc>
      </w:tr>
      <w:tr w:rsidR="00155D17" w:rsidRPr="00FD5087" w14:paraId="154D0829"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18AC8C70" w14:textId="77777777" w:rsidR="00155D17" w:rsidRPr="00FD5087" w:rsidRDefault="00036705" w:rsidP="009647D3">
            <w:pPr>
              <w:spacing w:beforeLines="60" w:before="144"/>
              <w:rPr>
                <w:rFonts w:cs="Arial"/>
                <w:b/>
                <w:sz w:val="18"/>
                <w:szCs w:val="18"/>
                <w:lang w:val="et-EE"/>
              </w:rPr>
            </w:pPr>
            <w:r w:rsidRPr="00FD5087">
              <w:rPr>
                <w:rFonts w:cs="Arial"/>
                <w:b/>
                <w:bCs w:val="0"/>
                <w:sz w:val="18"/>
                <w:szCs w:val="18"/>
                <w:lang w:val="et-EE"/>
              </w:rPr>
              <w:t xml:space="preserve">4.2.4 Puudused </w:t>
            </w:r>
            <w:proofErr w:type="spellStart"/>
            <w:r w:rsidRPr="00FD5087">
              <w:rPr>
                <w:rFonts w:cs="Arial"/>
                <w:b/>
                <w:bCs w:val="0"/>
                <w:sz w:val="18"/>
                <w:szCs w:val="18"/>
                <w:lang w:val="et-EE"/>
              </w:rPr>
              <w:t>sotsiaal-majandusliku</w:t>
            </w:r>
            <w:proofErr w:type="spellEnd"/>
            <w:r w:rsidRPr="00FD5087">
              <w:rPr>
                <w:rFonts w:cs="Arial"/>
                <w:b/>
                <w:bCs w:val="0"/>
                <w:sz w:val="18"/>
                <w:szCs w:val="18"/>
                <w:lang w:val="et-EE"/>
              </w:rPr>
              <w:t xml:space="preserve"> mõju hindamisel </w:t>
            </w:r>
            <w:proofErr w:type="spellStart"/>
            <w:r w:rsidRPr="00FD5087">
              <w:rPr>
                <w:rFonts w:cs="Arial"/>
                <w:b/>
                <w:bCs w:val="0"/>
                <w:sz w:val="18"/>
                <w:szCs w:val="18"/>
                <w:lang w:val="et-EE"/>
              </w:rPr>
              <w:t>Auvere</w:t>
            </w:r>
            <w:proofErr w:type="spellEnd"/>
            <w:r w:rsidRPr="00FD5087">
              <w:rPr>
                <w:rFonts w:cs="Arial"/>
                <w:b/>
                <w:bCs w:val="0"/>
                <w:sz w:val="18"/>
                <w:szCs w:val="18"/>
                <w:lang w:val="et-EE"/>
              </w:rPr>
              <w:t xml:space="preserve"> KSH raames</w:t>
            </w:r>
          </w:p>
          <w:p w14:paraId="5B594F83" w14:textId="690F901D" w:rsidR="00036705" w:rsidRPr="00FD5087" w:rsidRDefault="00036705" w:rsidP="00036705">
            <w:pPr>
              <w:spacing w:beforeLines="60" w:before="144"/>
              <w:rPr>
                <w:rFonts w:cs="Arial"/>
                <w:bCs w:val="0"/>
                <w:sz w:val="18"/>
                <w:szCs w:val="18"/>
                <w:lang w:val="et-EE"/>
              </w:rPr>
            </w:pPr>
            <w:r w:rsidRPr="00FD5087">
              <w:rPr>
                <w:rFonts w:cs="Arial"/>
                <w:sz w:val="18"/>
                <w:szCs w:val="18"/>
                <w:lang w:val="et-EE"/>
              </w:rPr>
              <w:t xml:space="preserve">Teiseks räägib uue tervikliku </w:t>
            </w:r>
            <w:proofErr w:type="spellStart"/>
            <w:r w:rsidRPr="00FD5087">
              <w:rPr>
                <w:rFonts w:cs="Arial"/>
                <w:sz w:val="18"/>
                <w:szCs w:val="18"/>
                <w:lang w:val="et-EE"/>
              </w:rPr>
              <w:t>sotsiaal-majandusliku</w:t>
            </w:r>
            <w:proofErr w:type="spellEnd"/>
            <w:r w:rsidRPr="00FD5087">
              <w:rPr>
                <w:rFonts w:cs="Arial"/>
                <w:sz w:val="18"/>
                <w:szCs w:val="18"/>
                <w:lang w:val="et-EE"/>
              </w:rPr>
              <w:t xml:space="preserve"> mõju hindamise kasuks asjaolu, et </w:t>
            </w:r>
            <w:proofErr w:type="spellStart"/>
            <w:r w:rsidRPr="00FD5087">
              <w:rPr>
                <w:rFonts w:cs="Arial"/>
                <w:sz w:val="18"/>
                <w:szCs w:val="18"/>
                <w:lang w:val="et-EE"/>
              </w:rPr>
              <w:t>Auvere</w:t>
            </w:r>
            <w:proofErr w:type="spellEnd"/>
            <w:r w:rsidRPr="00FD5087">
              <w:rPr>
                <w:rFonts w:cs="Arial"/>
                <w:bCs w:val="0"/>
                <w:sz w:val="18"/>
                <w:szCs w:val="18"/>
                <w:lang w:val="et-EE"/>
              </w:rPr>
              <w:t xml:space="preserve"> </w:t>
            </w:r>
            <w:r w:rsidRPr="00FD5087">
              <w:rPr>
                <w:rFonts w:cs="Arial"/>
                <w:sz w:val="18"/>
                <w:szCs w:val="18"/>
                <w:lang w:val="et-EE"/>
              </w:rPr>
              <w:t xml:space="preserve">KSH aruande sellekohastes peatükkides esineb </w:t>
            </w:r>
            <w:r w:rsidRPr="00FD5087">
              <w:rPr>
                <w:rFonts w:cs="Arial"/>
                <w:sz w:val="18"/>
                <w:szCs w:val="18"/>
                <w:u w:val="single"/>
                <w:lang w:val="et-EE"/>
              </w:rPr>
              <w:t>olulisi puudusi</w:t>
            </w:r>
            <w:r w:rsidRPr="00FD5087">
              <w:rPr>
                <w:rFonts w:cs="Arial"/>
                <w:sz w:val="18"/>
                <w:szCs w:val="18"/>
                <w:lang w:val="et-EE"/>
              </w:rPr>
              <w:t>. Näiteks ei ole hinnatud</w:t>
            </w:r>
            <w:r w:rsidRPr="00FD5087">
              <w:rPr>
                <w:rFonts w:cs="Arial"/>
                <w:bCs w:val="0"/>
                <w:sz w:val="18"/>
                <w:szCs w:val="18"/>
                <w:lang w:val="et-EE"/>
              </w:rPr>
              <w:t xml:space="preserve"> </w:t>
            </w:r>
            <w:proofErr w:type="spellStart"/>
            <w:r w:rsidRPr="00FD5087">
              <w:rPr>
                <w:rFonts w:cs="Arial"/>
                <w:sz w:val="18"/>
                <w:szCs w:val="18"/>
                <w:lang w:val="et-EE"/>
              </w:rPr>
              <w:t>Auvere</w:t>
            </w:r>
            <w:proofErr w:type="spellEnd"/>
            <w:r w:rsidRPr="00FD5087">
              <w:rPr>
                <w:rFonts w:cs="Arial"/>
                <w:sz w:val="18"/>
                <w:szCs w:val="18"/>
                <w:lang w:val="et-EE"/>
              </w:rPr>
              <w:t xml:space="preserve"> KSH raames ega üheski muus etapis </w:t>
            </w:r>
            <w:r w:rsidRPr="00FD5087">
              <w:rPr>
                <w:rFonts w:cs="Arial"/>
                <w:sz w:val="18"/>
                <w:szCs w:val="18"/>
                <w:u w:val="single"/>
                <w:lang w:val="et-EE"/>
              </w:rPr>
              <w:t>õlitehase rajamise mõju noorte väljavoolule Ida-Virumaalt</w:t>
            </w:r>
            <w:r w:rsidRPr="00FD5087">
              <w:rPr>
                <w:rFonts w:cs="Arial"/>
                <w:sz w:val="18"/>
                <w:szCs w:val="18"/>
                <w:lang w:val="et-EE"/>
              </w:rPr>
              <w:t>, mis tõukub mh sellest, et noorte jaoks ei ole energeetikasektori töökohad</w:t>
            </w:r>
            <w:r w:rsidRPr="00FD5087">
              <w:rPr>
                <w:rFonts w:cs="Arial"/>
                <w:bCs w:val="0"/>
                <w:sz w:val="18"/>
                <w:szCs w:val="18"/>
                <w:lang w:val="et-EE"/>
              </w:rPr>
              <w:t xml:space="preserve"> </w:t>
            </w:r>
            <w:r w:rsidRPr="00FD5087">
              <w:rPr>
                <w:rFonts w:cs="Arial"/>
                <w:sz w:val="18"/>
                <w:szCs w:val="18"/>
                <w:lang w:val="et-EE"/>
              </w:rPr>
              <w:t>atraktiivsed ning alternatiivseid töökohti on piirkonnas vähe.</w:t>
            </w:r>
            <w:r w:rsidR="00254F49" w:rsidRPr="00FD5087">
              <w:rPr>
                <w:rStyle w:val="FootnoteReference"/>
                <w:rFonts w:cs="Arial"/>
                <w:sz w:val="18"/>
                <w:szCs w:val="18"/>
                <w:lang w:val="et-EE"/>
              </w:rPr>
              <w:footnoteReference w:id="18"/>
            </w:r>
            <w:r w:rsidRPr="00FD5087">
              <w:rPr>
                <w:rFonts w:cs="Arial"/>
                <w:sz w:val="18"/>
                <w:szCs w:val="18"/>
                <w:lang w:val="et-EE"/>
              </w:rPr>
              <w:t xml:space="preserve"> Samuti ei võta </w:t>
            </w:r>
            <w:proofErr w:type="spellStart"/>
            <w:r w:rsidRPr="00FD5087">
              <w:rPr>
                <w:rFonts w:cs="Arial"/>
                <w:sz w:val="18"/>
                <w:szCs w:val="18"/>
                <w:lang w:val="et-EE"/>
              </w:rPr>
              <w:t>Auvere</w:t>
            </w:r>
            <w:proofErr w:type="spellEnd"/>
            <w:r w:rsidRPr="00FD5087">
              <w:rPr>
                <w:rFonts w:cs="Arial"/>
                <w:sz w:val="18"/>
                <w:szCs w:val="18"/>
                <w:lang w:val="et-EE"/>
              </w:rPr>
              <w:t xml:space="preserve"> KSH</w:t>
            </w:r>
            <w:r w:rsidRPr="00FD5087">
              <w:rPr>
                <w:rFonts w:cs="Arial"/>
                <w:bCs w:val="0"/>
                <w:sz w:val="18"/>
                <w:szCs w:val="18"/>
                <w:lang w:val="et-EE"/>
              </w:rPr>
              <w:t xml:space="preserve"> </w:t>
            </w:r>
            <w:r w:rsidRPr="00FD5087">
              <w:rPr>
                <w:rFonts w:cs="Arial"/>
                <w:sz w:val="18"/>
                <w:szCs w:val="18"/>
                <w:lang w:val="et-EE"/>
              </w:rPr>
              <w:t>aruandes antud hinnang arvesse riski, et õlitehase rajamine kinnistab Ida-Virumaa inimesi</w:t>
            </w:r>
            <w:r w:rsidRPr="00FD5087">
              <w:rPr>
                <w:rFonts w:cs="Arial"/>
                <w:bCs w:val="0"/>
                <w:sz w:val="18"/>
                <w:szCs w:val="18"/>
                <w:lang w:val="et-EE"/>
              </w:rPr>
              <w:t xml:space="preserve"> </w:t>
            </w:r>
            <w:r w:rsidRPr="00FD5087">
              <w:rPr>
                <w:rFonts w:cs="Arial"/>
                <w:sz w:val="18"/>
                <w:szCs w:val="18"/>
                <w:lang w:val="et-EE"/>
              </w:rPr>
              <w:t>põlevkivisektoris töötama, samas kliimaalase regulatsiooni kiirete muutuste, KHG heite</w:t>
            </w:r>
            <w:r w:rsidRPr="00FD5087">
              <w:rPr>
                <w:rFonts w:cs="Arial"/>
                <w:bCs w:val="0"/>
                <w:sz w:val="18"/>
                <w:szCs w:val="18"/>
                <w:lang w:val="et-EE"/>
              </w:rPr>
              <w:t xml:space="preserve"> </w:t>
            </w:r>
            <w:r w:rsidRPr="00FD5087">
              <w:rPr>
                <w:rFonts w:cs="Arial"/>
                <w:sz w:val="18"/>
                <w:szCs w:val="18"/>
                <w:lang w:val="et-EE"/>
              </w:rPr>
              <w:t xml:space="preserve">ühikuhinna ning toornafta hinna kõikumise tulemusel võib </w:t>
            </w:r>
            <w:r w:rsidRPr="00FD5087">
              <w:rPr>
                <w:rFonts w:cs="Arial"/>
                <w:bCs w:val="0"/>
                <w:sz w:val="18"/>
                <w:szCs w:val="18"/>
                <w:lang w:val="et-EE"/>
              </w:rPr>
              <w:t xml:space="preserve"> o</w:t>
            </w:r>
            <w:r w:rsidRPr="00FD5087">
              <w:rPr>
                <w:rFonts w:cs="Arial"/>
                <w:sz w:val="18"/>
                <w:szCs w:val="18"/>
                <w:lang w:val="et-EE"/>
              </w:rPr>
              <w:t>sutuda möödapääsmatuks</w:t>
            </w:r>
            <w:r w:rsidRPr="00FD5087">
              <w:rPr>
                <w:rFonts w:cs="Arial"/>
                <w:bCs w:val="0"/>
                <w:sz w:val="18"/>
                <w:szCs w:val="18"/>
                <w:lang w:val="et-EE"/>
              </w:rPr>
              <w:t xml:space="preserve"> </w:t>
            </w:r>
            <w:r w:rsidRPr="00FD5087">
              <w:rPr>
                <w:rFonts w:cs="Arial"/>
                <w:sz w:val="18"/>
                <w:szCs w:val="18"/>
                <w:lang w:val="et-EE"/>
              </w:rPr>
              <w:t>õlitootmise kiire lõpetamine.</w:t>
            </w:r>
            <w:r w:rsidR="00254F49" w:rsidRPr="00FD5087">
              <w:rPr>
                <w:rStyle w:val="FootnoteReference"/>
                <w:rFonts w:cs="Arial"/>
                <w:sz w:val="18"/>
                <w:szCs w:val="18"/>
                <w:lang w:val="et-EE"/>
              </w:rPr>
              <w:footnoteReference w:id="19"/>
            </w:r>
          </w:p>
          <w:p w14:paraId="54AEBBE9" w14:textId="4E298D39" w:rsidR="00036705" w:rsidRPr="00FD5087" w:rsidRDefault="00036705" w:rsidP="00036705">
            <w:pPr>
              <w:spacing w:beforeLines="60" w:before="144"/>
              <w:rPr>
                <w:rFonts w:cs="Arial"/>
                <w:sz w:val="18"/>
                <w:szCs w:val="18"/>
                <w:lang w:val="et-EE"/>
              </w:rPr>
            </w:pPr>
            <w:r w:rsidRPr="00FD5087">
              <w:rPr>
                <w:rFonts w:cs="Arial"/>
                <w:sz w:val="18"/>
                <w:szCs w:val="18"/>
                <w:lang w:val="et-EE"/>
              </w:rPr>
              <w:t>KMH aruandes tunnistatakse, et juhul, kui kliimaneutraalsust pole Eestis võimalik teisiti</w:t>
            </w:r>
            <w:r w:rsidRPr="00FD5087">
              <w:rPr>
                <w:rFonts w:cs="Arial"/>
                <w:bCs w:val="0"/>
                <w:sz w:val="18"/>
                <w:szCs w:val="18"/>
                <w:lang w:val="et-EE"/>
              </w:rPr>
              <w:t xml:space="preserve"> </w:t>
            </w:r>
            <w:r w:rsidRPr="00FD5087">
              <w:rPr>
                <w:rFonts w:cs="Arial"/>
                <w:sz w:val="18"/>
                <w:szCs w:val="18"/>
                <w:lang w:val="et-EE"/>
              </w:rPr>
              <w:t>saavutada, lõpetab õlitehas töö 2050. aastal ehk plaanitust varem (lk 35). Arvestades</w:t>
            </w:r>
            <w:r w:rsidRPr="00FD5087">
              <w:rPr>
                <w:rFonts w:cs="Arial"/>
                <w:bCs w:val="0"/>
                <w:sz w:val="18"/>
                <w:szCs w:val="18"/>
                <w:lang w:val="et-EE"/>
              </w:rPr>
              <w:t xml:space="preserve"> </w:t>
            </w:r>
            <w:r w:rsidRPr="00FD5087">
              <w:rPr>
                <w:rFonts w:cs="Arial"/>
                <w:sz w:val="18"/>
                <w:szCs w:val="18"/>
                <w:lang w:val="et-EE"/>
              </w:rPr>
              <w:t xml:space="preserve">karmistuvat kliimapoliitikat, võidakse õlitehas regulatiivse surve tõttu sulgeda varemgi. </w:t>
            </w:r>
            <w:proofErr w:type="spellStart"/>
            <w:r w:rsidRPr="00FD5087">
              <w:rPr>
                <w:rFonts w:cs="Arial"/>
                <w:sz w:val="18"/>
                <w:szCs w:val="18"/>
                <w:lang w:val="et-EE"/>
              </w:rPr>
              <w:t>Auvere</w:t>
            </w:r>
            <w:proofErr w:type="spellEnd"/>
            <w:r w:rsidRPr="00FD5087">
              <w:rPr>
                <w:rFonts w:cs="Arial"/>
                <w:bCs w:val="0"/>
                <w:sz w:val="18"/>
                <w:szCs w:val="18"/>
                <w:lang w:val="et-EE"/>
              </w:rPr>
              <w:t xml:space="preserve"> </w:t>
            </w:r>
            <w:r w:rsidRPr="00FD5087">
              <w:rPr>
                <w:rFonts w:cs="Arial"/>
                <w:sz w:val="18"/>
                <w:szCs w:val="18"/>
                <w:lang w:val="et-EE"/>
              </w:rPr>
              <w:t>KSH ega KMH aruande raames ei ole hinnatud aga õlitehase plaanitust lühema kasutusea</w:t>
            </w:r>
            <w:r w:rsidRPr="00FD5087">
              <w:rPr>
                <w:rFonts w:cs="Arial"/>
                <w:bCs w:val="0"/>
                <w:sz w:val="18"/>
                <w:szCs w:val="18"/>
                <w:lang w:val="et-EE"/>
              </w:rPr>
              <w:t xml:space="preserve"> </w:t>
            </w:r>
            <w:r w:rsidRPr="00FD5087">
              <w:rPr>
                <w:rFonts w:cs="Arial"/>
                <w:sz w:val="18"/>
                <w:szCs w:val="18"/>
                <w:lang w:val="et-EE"/>
              </w:rPr>
              <w:t>ehk õlitehase kui nn hüljatud vara (inglise keeles “</w:t>
            </w:r>
            <w:proofErr w:type="spellStart"/>
            <w:r w:rsidRPr="00FD5087">
              <w:rPr>
                <w:rFonts w:cs="Arial"/>
                <w:i/>
                <w:iCs/>
                <w:sz w:val="18"/>
                <w:szCs w:val="18"/>
                <w:lang w:val="et-EE"/>
              </w:rPr>
              <w:t>stranded</w:t>
            </w:r>
            <w:proofErr w:type="spellEnd"/>
            <w:r w:rsidRPr="00FD5087">
              <w:rPr>
                <w:rFonts w:cs="Arial"/>
                <w:i/>
                <w:iCs/>
                <w:sz w:val="18"/>
                <w:szCs w:val="18"/>
                <w:lang w:val="et-EE"/>
              </w:rPr>
              <w:t xml:space="preserve"> </w:t>
            </w:r>
            <w:proofErr w:type="spellStart"/>
            <w:r w:rsidRPr="00FD5087">
              <w:rPr>
                <w:rFonts w:cs="Arial"/>
                <w:i/>
                <w:iCs/>
                <w:sz w:val="18"/>
                <w:szCs w:val="18"/>
                <w:lang w:val="et-EE"/>
              </w:rPr>
              <w:t>asset</w:t>
            </w:r>
            <w:proofErr w:type="spellEnd"/>
            <w:r w:rsidRPr="00FD5087">
              <w:rPr>
                <w:rFonts w:cs="Arial"/>
                <w:sz w:val="18"/>
                <w:szCs w:val="18"/>
                <w:lang w:val="et-EE"/>
              </w:rPr>
              <w:t xml:space="preserve">”) </w:t>
            </w:r>
            <w:proofErr w:type="spellStart"/>
            <w:r w:rsidRPr="00FD5087">
              <w:rPr>
                <w:rFonts w:cs="Arial"/>
                <w:sz w:val="18"/>
                <w:szCs w:val="18"/>
                <w:lang w:val="et-EE"/>
              </w:rPr>
              <w:t>sotsiaal-majanduslikku</w:t>
            </w:r>
            <w:proofErr w:type="spellEnd"/>
            <w:r w:rsidRPr="00FD5087">
              <w:rPr>
                <w:rFonts w:cs="Arial"/>
                <w:bCs w:val="0"/>
                <w:sz w:val="18"/>
                <w:szCs w:val="18"/>
                <w:lang w:val="et-EE"/>
              </w:rPr>
              <w:t xml:space="preserve"> </w:t>
            </w:r>
            <w:r w:rsidRPr="00FD5087">
              <w:rPr>
                <w:rFonts w:cs="Arial"/>
                <w:sz w:val="18"/>
                <w:szCs w:val="18"/>
                <w:lang w:val="et-EE"/>
              </w:rPr>
              <w:t>mõju Ida-Virumaale ja Eestile tervikuna. IPCC hinnangul võidakse söega seotud varad hüljata</w:t>
            </w:r>
            <w:r w:rsidRPr="00FD5087">
              <w:rPr>
                <w:rFonts w:cs="Arial"/>
                <w:bCs w:val="0"/>
                <w:sz w:val="18"/>
                <w:szCs w:val="18"/>
                <w:lang w:val="et-EE"/>
              </w:rPr>
              <w:t xml:space="preserve"> </w:t>
            </w:r>
            <w:r w:rsidRPr="00FD5087">
              <w:rPr>
                <w:rFonts w:cs="Arial"/>
                <w:sz w:val="18"/>
                <w:szCs w:val="18"/>
                <w:lang w:val="et-EE"/>
              </w:rPr>
              <w:t xml:space="preserve">juba enne 2030. aastat, naftaga seotud varad aga pigem sajandi keskpaiga </w:t>
            </w:r>
            <w:r w:rsidRPr="00FD5087">
              <w:rPr>
                <w:rFonts w:cs="Arial"/>
                <w:sz w:val="18"/>
                <w:szCs w:val="18"/>
                <w:lang w:val="et-EE"/>
              </w:rPr>
              <w:lastRenderedPageBreak/>
              <w:t>poole.</w:t>
            </w:r>
            <w:r w:rsidR="00254F49" w:rsidRPr="00FD5087">
              <w:rPr>
                <w:rStyle w:val="FootnoteReference"/>
                <w:rFonts w:cs="Arial"/>
                <w:sz w:val="18"/>
                <w:szCs w:val="18"/>
                <w:lang w:val="et-EE"/>
              </w:rPr>
              <w:footnoteReference w:id="20"/>
            </w:r>
            <w:r w:rsidRPr="00FD5087">
              <w:rPr>
                <w:rFonts w:cs="Arial"/>
                <w:sz w:val="18"/>
                <w:szCs w:val="18"/>
                <w:lang w:val="et-EE"/>
              </w:rPr>
              <w:t xml:space="preserve"> </w:t>
            </w:r>
            <w:proofErr w:type="spellStart"/>
            <w:r w:rsidRPr="00FD5087">
              <w:rPr>
                <w:rFonts w:cs="Arial"/>
                <w:sz w:val="18"/>
                <w:szCs w:val="18"/>
                <w:lang w:val="et-EE"/>
              </w:rPr>
              <w:t>Auvere</w:t>
            </w:r>
            <w:proofErr w:type="spellEnd"/>
            <w:r w:rsidRPr="00FD5087">
              <w:rPr>
                <w:rFonts w:cs="Arial"/>
                <w:bCs w:val="0"/>
                <w:sz w:val="18"/>
                <w:szCs w:val="18"/>
                <w:lang w:val="et-EE"/>
              </w:rPr>
              <w:t xml:space="preserve"> </w:t>
            </w:r>
            <w:r w:rsidRPr="00FD5087">
              <w:rPr>
                <w:rFonts w:cs="Arial"/>
                <w:sz w:val="18"/>
                <w:szCs w:val="18"/>
                <w:lang w:val="et-EE"/>
              </w:rPr>
              <w:t xml:space="preserve">KSH ega KMH raames ei ole hinnatud aga </w:t>
            </w:r>
            <w:r w:rsidRPr="00FD5087">
              <w:rPr>
                <w:rFonts w:cs="Arial"/>
                <w:sz w:val="18"/>
                <w:szCs w:val="18"/>
                <w:u w:val="single"/>
                <w:lang w:val="et-EE"/>
              </w:rPr>
              <w:t>õlitehase plaanitust kiirema hülgamise sotsiaalmajanduslikku</w:t>
            </w:r>
            <w:r w:rsidRPr="00FD5087">
              <w:rPr>
                <w:rFonts w:cs="Arial"/>
                <w:bCs w:val="0"/>
                <w:sz w:val="18"/>
                <w:szCs w:val="18"/>
                <w:u w:val="single"/>
                <w:lang w:val="et-EE"/>
              </w:rPr>
              <w:t xml:space="preserve"> </w:t>
            </w:r>
            <w:r w:rsidRPr="00FD5087">
              <w:rPr>
                <w:rFonts w:cs="Arial"/>
                <w:sz w:val="18"/>
                <w:szCs w:val="18"/>
                <w:u w:val="single"/>
                <w:lang w:val="et-EE"/>
              </w:rPr>
              <w:t xml:space="preserve">mõju </w:t>
            </w:r>
            <w:r w:rsidRPr="00FD5087">
              <w:rPr>
                <w:rFonts w:cs="Arial"/>
                <w:sz w:val="18"/>
                <w:szCs w:val="18"/>
                <w:lang w:val="et-EE"/>
              </w:rPr>
              <w:t>Ida-Virumaale ja Eestile tervikuna. Sealhulgas tasub arvesse võtta ka</w:t>
            </w:r>
            <w:r w:rsidRPr="00FD5087">
              <w:rPr>
                <w:rFonts w:cs="Arial"/>
                <w:bCs w:val="0"/>
                <w:sz w:val="18"/>
                <w:szCs w:val="18"/>
                <w:lang w:val="et-EE"/>
              </w:rPr>
              <w:t xml:space="preserve"> </w:t>
            </w:r>
            <w:r w:rsidRPr="00FD5087">
              <w:rPr>
                <w:rFonts w:cs="Arial"/>
                <w:sz w:val="18"/>
                <w:szCs w:val="18"/>
                <w:lang w:val="et-EE"/>
              </w:rPr>
              <w:t>asjaolu, et kui kehtestatavate või uuendatavate kliimaeesmärkide tõttu on vaja ettevõtjale</w:t>
            </w:r>
            <w:r w:rsidRPr="00FD5087">
              <w:rPr>
                <w:rFonts w:cs="Arial"/>
                <w:bCs w:val="0"/>
                <w:sz w:val="18"/>
                <w:szCs w:val="18"/>
                <w:lang w:val="et-EE"/>
              </w:rPr>
              <w:t xml:space="preserve"> </w:t>
            </w:r>
            <w:r w:rsidRPr="00FD5087">
              <w:rPr>
                <w:rFonts w:cs="Arial"/>
                <w:sz w:val="18"/>
                <w:szCs w:val="18"/>
                <w:lang w:val="et-EE"/>
              </w:rPr>
              <w:t>antud keskkonnaluba kehtetuks tunnistada, võib tal tekkida nõudeõigus kahju hüvitamiseks</w:t>
            </w:r>
            <w:r w:rsidRPr="00FD5087">
              <w:rPr>
                <w:rFonts w:cs="Arial"/>
                <w:bCs w:val="0"/>
                <w:sz w:val="18"/>
                <w:szCs w:val="18"/>
                <w:lang w:val="et-EE"/>
              </w:rPr>
              <w:t xml:space="preserve"> </w:t>
            </w:r>
            <w:r w:rsidRPr="00FD5087">
              <w:rPr>
                <w:rFonts w:cs="Arial"/>
                <w:sz w:val="18"/>
                <w:szCs w:val="18"/>
                <w:lang w:val="et-EE"/>
              </w:rPr>
              <w:t xml:space="preserve">juba tehtud investeeringute osas. </w:t>
            </w:r>
            <w:r w:rsidRPr="00FD5087">
              <w:rPr>
                <w:rFonts w:cs="Arial"/>
                <w:b/>
                <w:bCs w:val="0"/>
                <w:sz w:val="18"/>
                <w:szCs w:val="18"/>
                <w:lang w:val="et-EE"/>
              </w:rPr>
              <w:t xml:space="preserve">Palume neid riske </w:t>
            </w:r>
            <w:proofErr w:type="spellStart"/>
            <w:r w:rsidRPr="00FD5087">
              <w:rPr>
                <w:rFonts w:cs="Arial"/>
                <w:b/>
                <w:bCs w:val="0"/>
                <w:sz w:val="18"/>
                <w:szCs w:val="18"/>
                <w:lang w:val="et-EE"/>
              </w:rPr>
              <w:t>sotsiaal-majandusliku</w:t>
            </w:r>
            <w:proofErr w:type="spellEnd"/>
            <w:r w:rsidRPr="00FD5087">
              <w:rPr>
                <w:rFonts w:cs="Arial"/>
                <w:b/>
                <w:bCs w:val="0"/>
                <w:sz w:val="18"/>
                <w:szCs w:val="18"/>
                <w:lang w:val="et-EE"/>
              </w:rPr>
              <w:t xml:space="preserve"> mõju hindamise raames analüüsida.</w:t>
            </w:r>
          </w:p>
        </w:tc>
        <w:tc>
          <w:tcPr>
            <w:tcW w:w="7377" w:type="dxa"/>
            <w:shd w:val="clear" w:color="auto" w:fill="FFFFFF" w:themeFill="background1"/>
            <w:vAlign w:val="top"/>
          </w:tcPr>
          <w:p w14:paraId="0B03B546" w14:textId="590F590B" w:rsidR="00306E90" w:rsidRDefault="00A4651B" w:rsidP="009647D3">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lastRenderedPageBreak/>
              <w:t>KSH aruandes toodu ei kuulu ümbervaatamisele.</w:t>
            </w:r>
            <w:r w:rsidR="00306E90">
              <w:rPr>
                <w:rFonts w:cs="Arial"/>
                <w:sz w:val="18"/>
                <w:szCs w:val="18"/>
                <w:lang w:val="et-EE"/>
              </w:rPr>
              <w:t xml:space="preserve"> KSH aruanne esitas ENMAK 2030 ja muudes asjakohastes strateegilistes arengudokumentides, sh regionaalses ja kohaliku omavalitsuse märgitud </w:t>
            </w:r>
            <w:proofErr w:type="spellStart"/>
            <w:r w:rsidR="00306E90">
              <w:rPr>
                <w:rFonts w:cs="Arial"/>
                <w:sz w:val="18"/>
                <w:szCs w:val="18"/>
                <w:lang w:val="et-EE"/>
              </w:rPr>
              <w:t>sotsiaal-majanduslike</w:t>
            </w:r>
            <w:proofErr w:type="spellEnd"/>
            <w:r w:rsidR="00306E90">
              <w:rPr>
                <w:rFonts w:cs="Arial"/>
                <w:sz w:val="18"/>
                <w:szCs w:val="18"/>
                <w:lang w:val="et-EE"/>
              </w:rPr>
              <w:t xml:space="preserve">  hinnangute kokkuvõtte, mida täiendati nende vastuvõtmisele järgnenud perioodi asjakohaste näitajatega, mitte ei teinud eraldiseisvat laiemat </w:t>
            </w:r>
            <w:proofErr w:type="spellStart"/>
            <w:r w:rsidR="00306E90">
              <w:rPr>
                <w:rFonts w:cs="Arial"/>
                <w:sz w:val="18"/>
                <w:szCs w:val="18"/>
                <w:lang w:val="et-EE"/>
              </w:rPr>
              <w:t>sotsiaal-majanduslikku</w:t>
            </w:r>
            <w:proofErr w:type="spellEnd"/>
            <w:r w:rsidR="00306E90">
              <w:rPr>
                <w:rFonts w:cs="Arial"/>
                <w:sz w:val="18"/>
                <w:szCs w:val="18"/>
                <w:lang w:val="et-EE"/>
              </w:rPr>
              <w:t xml:space="preserve"> hinnangut. Nagu eelnevalt viidati, tehti investeerimisotsus Enefit280-2 rajamiseks 2020. aasta kevadel ja väljastatud ehitusloa alusel alustati ehitamist.        </w:t>
            </w:r>
          </w:p>
          <w:p w14:paraId="73BFC7D8" w14:textId="00CDE056" w:rsidR="00306E90" w:rsidRDefault="00306E90" w:rsidP="009647D3">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Mis puudutab toornafta hinna kõikumist, siis sellega on investeeringuotsuse tegemisel arvestatud ja projekti tasuvusaja hindamisel on seda võimalust arvesse võetud.   </w:t>
            </w:r>
          </w:p>
          <w:p w14:paraId="4E6BB6B4" w14:textId="6608C8A1" w:rsidR="00A4651B" w:rsidRPr="00FD5087" w:rsidRDefault="00306E90" w:rsidP="009647D3">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Ülevaade nn vara hülgamise tõenäosuse kohta on eelnevate ettepanekute alusel lisatud </w:t>
            </w:r>
            <w:proofErr w:type="spellStart"/>
            <w:r>
              <w:rPr>
                <w:rFonts w:cs="Arial"/>
                <w:sz w:val="18"/>
                <w:szCs w:val="18"/>
                <w:lang w:val="et-EE"/>
              </w:rPr>
              <w:t>ptk</w:t>
            </w:r>
            <w:proofErr w:type="spellEnd"/>
            <w:r>
              <w:rPr>
                <w:rFonts w:cs="Arial"/>
                <w:sz w:val="18"/>
                <w:szCs w:val="18"/>
                <w:lang w:val="et-EE"/>
              </w:rPr>
              <w:t xml:space="preserve"> 2.1 kooseisu. Mis puudutab viidatud IPCC hinnangut, siis selle hüpoteesi paikapidavust näitab Saksamaa tegevus, kus on </w:t>
            </w:r>
            <w:proofErr w:type="spellStart"/>
            <w:r>
              <w:rPr>
                <w:rFonts w:cs="Arial"/>
                <w:sz w:val="18"/>
                <w:szCs w:val="18"/>
                <w:lang w:val="et-EE"/>
              </w:rPr>
              <w:t>tuuma-elektrijaamade</w:t>
            </w:r>
            <w:proofErr w:type="spellEnd"/>
            <w:r>
              <w:rPr>
                <w:rFonts w:cs="Arial"/>
                <w:sz w:val="18"/>
                <w:szCs w:val="18"/>
                <w:lang w:val="et-EE"/>
              </w:rPr>
              <w:t xml:space="preserve"> sulgemisega otsustatud rajada uusi söel põhinevaid võimsusi.   </w:t>
            </w:r>
          </w:p>
        </w:tc>
      </w:tr>
      <w:tr w:rsidR="00036705" w:rsidRPr="00FD5087" w14:paraId="1C919000"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4896F816" w14:textId="77777777" w:rsidR="00036705" w:rsidRPr="00FD5087" w:rsidRDefault="005E75E7" w:rsidP="009647D3">
            <w:pPr>
              <w:spacing w:beforeLines="60" w:before="144"/>
              <w:rPr>
                <w:rFonts w:cs="Arial"/>
                <w:b/>
                <w:bCs w:val="0"/>
                <w:sz w:val="18"/>
                <w:szCs w:val="18"/>
                <w:lang w:val="et-EE"/>
              </w:rPr>
            </w:pPr>
            <w:r w:rsidRPr="00FD5087">
              <w:rPr>
                <w:rFonts w:cs="Arial"/>
                <w:b/>
                <w:bCs w:val="0"/>
                <w:sz w:val="18"/>
                <w:szCs w:val="18"/>
                <w:lang w:val="et-EE"/>
              </w:rPr>
              <w:t>4.2.5 Õlitehase süsinikuheite varikulu</w:t>
            </w:r>
          </w:p>
          <w:p w14:paraId="6AEA08B5" w14:textId="7E240AB8" w:rsidR="005E75E7" w:rsidRPr="00FD5087" w:rsidRDefault="005E75E7" w:rsidP="005E75E7">
            <w:pPr>
              <w:spacing w:beforeLines="60" w:before="144"/>
              <w:rPr>
                <w:rFonts w:cs="Arial"/>
                <w:sz w:val="18"/>
                <w:szCs w:val="18"/>
                <w:lang w:val="et-EE"/>
              </w:rPr>
            </w:pPr>
            <w:r w:rsidRPr="00FD5087">
              <w:rPr>
                <w:rFonts w:cs="Arial"/>
                <w:sz w:val="18"/>
                <w:szCs w:val="18"/>
                <w:lang w:val="et-EE"/>
              </w:rPr>
              <w:t>Juhime tähelepanu, et viimasel ajal on märgatavalt arenenud ka KHG heite enda sotsiaalmajanduslike</w:t>
            </w:r>
            <w:r w:rsidRPr="00FD5087">
              <w:rPr>
                <w:rFonts w:cs="Arial"/>
                <w:bCs w:val="0"/>
                <w:sz w:val="18"/>
                <w:szCs w:val="18"/>
                <w:lang w:val="et-EE"/>
              </w:rPr>
              <w:t xml:space="preserve"> </w:t>
            </w:r>
            <w:r w:rsidRPr="00FD5087">
              <w:rPr>
                <w:rFonts w:cs="Arial"/>
                <w:sz w:val="18"/>
                <w:szCs w:val="18"/>
                <w:lang w:val="et-EE"/>
              </w:rPr>
              <w:t>mõjude hindamise meetodid, mis abistavad olulise kliimamõjuga rajatiste üle</w:t>
            </w:r>
            <w:r w:rsidRPr="00FD5087">
              <w:rPr>
                <w:rFonts w:cs="Arial"/>
                <w:bCs w:val="0"/>
                <w:sz w:val="18"/>
                <w:szCs w:val="18"/>
                <w:lang w:val="et-EE"/>
              </w:rPr>
              <w:t xml:space="preserve"> </w:t>
            </w:r>
            <w:r w:rsidRPr="00FD5087">
              <w:rPr>
                <w:rFonts w:cs="Arial"/>
                <w:sz w:val="18"/>
                <w:szCs w:val="18"/>
                <w:lang w:val="et-EE"/>
              </w:rPr>
              <w:t>otsuste tegemist. 2021. aastal avalikustas Euroopa Komisjon taristu kliimakindluse hindamise</w:t>
            </w:r>
            <w:r w:rsidRPr="00FD5087">
              <w:rPr>
                <w:rFonts w:cs="Arial"/>
                <w:bCs w:val="0"/>
                <w:sz w:val="18"/>
                <w:szCs w:val="18"/>
                <w:lang w:val="et-EE"/>
              </w:rPr>
              <w:t xml:space="preserve"> </w:t>
            </w:r>
            <w:r w:rsidRPr="00FD5087">
              <w:rPr>
                <w:rFonts w:cs="Arial"/>
                <w:sz w:val="18"/>
                <w:szCs w:val="18"/>
                <w:lang w:val="et-EE"/>
              </w:rPr>
              <w:t>teatise (millele on viidatud ka KMH programmi lk 26), mille kohaselt tuleks hinnata ka CO2</w:t>
            </w:r>
            <w:r w:rsidRPr="00FD5087">
              <w:rPr>
                <w:rFonts w:cs="Arial"/>
                <w:bCs w:val="0"/>
                <w:sz w:val="18"/>
                <w:szCs w:val="18"/>
                <w:lang w:val="et-EE"/>
              </w:rPr>
              <w:t xml:space="preserve"> </w:t>
            </w:r>
            <w:r w:rsidRPr="00FD5087">
              <w:rPr>
                <w:rFonts w:cs="Arial"/>
                <w:sz w:val="18"/>
                <w:szCs w:val="18"/>
                <w:lang w:val="et-EE"/>
              </w:rPr>
              <w:t>heite varikulu. CO2 heite varikulu tähendab süsihappegaasi atmosfääri paiskamise kulu</w:t>
            </w:r>
            <w:r w:rsidRPr="00FD5087">
              <w:rPr>
                <w:rFonts w:cs="Arial"/>
                <w:bCs w:val="0"/>
                <w:sz w:val="18"/>
                <w:szCs w:val="18"/>
                <w:lang w:val="et-EE"/>
              </w:rPr>
              <w:t xml:space="preserve"> </w:t>
            </w:r>
            <w:r w:rsidRPr="00FD5087">
              <w:rPr>
                <w:rFonts w:cs="Arial"/>
                <w:sz w:val="18"/>
                <w:szCs w:val="18"/>
                <w:lang w:val="et-EE"/>
              </w:rPr>
              <w:t>ühiskonnale, mida põhjustavad kliimamuutuste tagajärjed, nagu tugevamad tormid ja põuad.</w:t>
            </w:r>
            <w:r w:rsidRPr="00FD5087">
              <w:rPr>
                <w:rFonts w:cs="Arial"/>
                <w:bCs w:val="0"/>
                <w:sz w:val="18"/>
                <w:szCs w:val="18"/>
                <w:lang w:val="et-EE"/>
              </w:rPr>
              <w:t xml:space="preserve"> </w:t>
            </w:r>
            <w:r w:rsidRPr="00FD5087">
              <w:rPr>
                <w:rFonts w:cs="Arial"/>
                <w:sz w:val="18"/>
                <w:szCs w:val="18"/>
                <w:lang w:val="et-EE"/>
              </w:rPr>
              <w:t>Komisjon tugineb Euroopa Investeerimispanga CO2 varikulu hindamise metoodikale, mille</w:t>
            </w:r>
            <w:r w:rsidRPr="00FD5087">
              <w:rPr>
                <w:rFonts w:cs="Arial"/>
                <w:bCs w:val="0"/>
                <w:sz w:val="18"/>
                <w:szCs w:val="18"/>
                <w:lang w:val="et-EE"/>
              </w:rPr>
              <w:t xml:space="preserve"> </w:t>
            </w:r>
            <w:r w:rsidRPr="00FD5087">
              <w:rPr>
                <w:rFonts w:cs="Arial"/>
                <w:sz w:val="18"/>
                <w:szCs w:val="18"/>
                <w:lang w:val="et-EE"/>
              </w:rPr>
              <w:t>kohaselt oli 2020. aastal ühe tonni CO2 varikulu 80 €, 2050. aastaks tõuseb see aga 800</w:t>
            </w:r>
            <w:r w:rsidRPr="00FD5087">
              <w:rPr>
                <w:rFonts w:cs="Arial"/>
                <w:bCs w:val="0"/>
                <w:sz w:val="18"/>
                <w:szCs w:val="18"/>
                <w:lang w:val="et-EE"/>
              </w:rPr>
              <w:t xml:space="preserve"> </w:t>
            </w:r>
            <w:r w:rsidRPr="00FD5087">
              <w:rPr>
                <w:rFonts w:cs="Arial"/>
                <w:sz w:val="18"/>
                <w:szCs w:val="18"/>
                <w:lang w:val="et-EE"/>
              </w:rPr>
              <w:t>euroni (2016. aasta hindades).</w:t>
            </w:r>
            <w:r w:rsidR="00D25000" w:rsidRPr="00FD5087">
              <w:rPr>
                <w:rStyle w:val="FootnoteReference"/>
                <w:rFonts w:cs="Arial"/>
                <w:sz w:val="18"/>
                <w:szCs w:val="18"/>
                <w:lang w:val="et-EE"/>
              </w:rPr>
              <w:footnoteReference w:id="21"/>
            </w:r>
            <w:r w:rsidRPr="00FD5087">
              <w:rPr>
                <w:rFonts w:cs="Arial"/>
                <w:sz w:val="18"/>
                <w:szCs w:val="18"/>
                <w:lang w:val="et-EE"/>
              </w:rPr>
              <w:t xml:space="preserve"> Kompleksloa taotluse ja Euroopa Investeerimispanga</w:t>
            </w:r>
            <w:r w:rsidRPr="00FD5087">
              <w:rPr>
                <w:rFonts w:cs="Arial"/>
                <w:bCs w:val="0"/>
                <w:sz w:val="18"/>
                <w:szCs w:val="18"/>
                <w:lang w:val="et-EE"/>
              </w:rPr>
              <w:t xml:space="preserve"> </w:t>
            </w:r>
            <w:r w:rsidRPr="00FD5087">
              <w:rPr>
                <w:rFonts w:cs="Arial"/>
                <w:sz w:val="18"/>
                <w:szCs w:val="18"/>
                <w:lang w:val="et-EE"/>
              </w:rPr>
              <w:t>andmete põhjal tooks õlitehase käitamine ainuüksi 2025. aastal ühiskonnale 146 miljoni euro</w:t>
            </w:r>
            <w:r w:rsidRPr="00FD5087">
              <w:rPr>
                <w:rFonts w:cs="Arial"/>
                <w:bCs w:val="0"/>
                <w:sz w:val="18"/>
                <w:szCs w:val="18"/>
                <w:lang w:val="et-EE"/>
              </w:rPr>
              <w:t xml:space="preserve"> </w:t>
            </w:r>
            <w:r w:rsidRPr="00FD5087">
              <w:rPr>
                <w:rFonts w:cs="Arial"/>
                <w:sz w:val="18"/>
                <w:szCs w:val="18"/>
                <w:lang w:val="et-EE"/>
              </w:rPr>
              <w:t>suuruse kahju, koos toodete kasutamisega 303 miljoni euro suuruse kahju. 2050. Aastani õlitehase käitamise CO2 varikulu oleks kokku 10,6 miljardit eurot, koos toodete põletamisega</w:t>
            </w:r>
            <w:r w:rsidRPr="00FD5087">
              <w:rPr>
                <w:rFonts w:cs="Arial"/>
                <w:bCs w:val="0"/>
                <w:sz w:val="18"/>
                <w:szCs w:val="18"/>
                <w:lang w:val="et-EE"/>
              </w:rPr>
              <w:t xml:space="preserve"> </w:t>
            </w:r>
            <w:r w:rsidRPr="00FD5087">
              <w:rPr>
                <w:rFonts w:cs="Arial"/>
                <w:sz w:val="18"/>
                <w:szCs w:val="18"/>
                <w:lang w:val="et-EE"/>
              </w:rPr>
              <w:t xml:space="preserve">lausa 22 miljardit eurot (2016. aasta hindades). Samas tuleb arvestada, et </w:t>
            </w:r>
            <w:r w:rsidRPr="00FD5087">
              <w:rPr>
                <w:rFonts w:cs="Arial"/>
                <w:sz w:val="18"/>
                <w:szCs w:val="18"/>
                <w:lang w:val="et-EE"/>
              </w:rPr>
              <w:lastRenderedPageBreak/>
              <w:t>Euroopa</w:t>
            </w:r>
            <w:r w:rsidRPr="00FD5087">
              <w:rPr>
                <w:rFonts w:cs="Arial"/>
                <w:bCs w:val="0"/>
                <w:sz w:val="18"/>
                <w:szCs w:val="18"/>
                <w:lang w:val="et-EE"/>
              </w:rPr>
              <w:t xml:space="preserve"> </w:t>
            </w:r>
            <w:r w:rsidRPr="00FD5087">
              <w:rPr>
                <w:rFonts w:cs="Arial"/>
                <w:sz w:val="18"/>
                <w:szCs w:val="18"/>
                <w:lang w:val="et-EE"/>
              </w:rPr>
              <w:t>Investeerimispanga andmed pigem alahindavad CO2 varikulu ning uuemates teadustöödes</w:t>
            </w:r>
            <w:r w:rsidRPr="00FD5087">
              <w:rPr>
                <w:rFonts w:cs="Arial"/>
                <w:bCs w:val="0"/>
                <w:sz w:val="18"/>
                <w:szCs w:val="18"/>
                <w:lang w:val="et-EE"/>
              </w:rPr>
              <w:t xml:space="preserve"> </w:t>
            </w:r>
            <w:r w:rsidRPr="00FD5087">
              <w:rPr>
                <w:rFonts w:cs="Arial"/>
                <w:sz w:val="18"/>
                <w:szCs w:val="18"/>
                <w:lang w:val="et-EE"/>
              </w:rPr>
              <w:t>hinnatakse varikulu veel suuremaks.</w:t>
            </w:r>
            <w:r w:rsidR="00903E94">
              <w:rPr>
                <w:rFonts w:cs="Arial"/>
                <w:sz w:val="18"/>
                <w:szCs w:val="18"/>
                <w:lang w:val="et-EE"/>
              </w:rPr>
              <w:t xml:space="preserve"> </w:t>
            </w:r>
            <w:r w:rsidRPr="00FD5087">
              <w:rPr>
                <w:rFonts w:cs="Arial"/>
                <w:sz w:val="18"/>
                <w:szCs w:val="18"/>
                <w:lang w:val="et-EE"/>
              </w:rPr>
              <w:t>Nii on näiteks hinnatud, et Eestis jäi varikulu tonnihind</w:t>
            </w:r>
            <w:r w:rsidRPr="00FD5087">
              <w:rPr>
                <w:rFonts w:cs="Arial"/>
                <w:bCs w:val="0"/>
                <w:sz w:val="18"/>
                <w:szCs w:val="18"/>
                <w:lang w:val="et-EE"/>
              </w:rPr>
              <w:t xml:space="preserve"> </w:t>
            </w:r>
            <w:r w:rsidRPr="00FD5087">
              <w:rPr>
                <w:rFonts w:cs="Arial"/>
                <w:sz w:val="18"/>
                <w:szCs w:val="18"/>
                <w:lang w:val="et-EE"/>
              </w:rPr>
              <w:t>juba 1991 – 2019. aastal 407 kuni 4109 euroni. Näiteks on IPCC välja toonud, et 1,5-kraadise</w:t>
            </w:r>
            <w:r w:rsidRPr="00FD5087">
              <w:rPr>
                <w:rFonts w:cs="Arial"/>
                <w:bCs w:val="0"/>
                <w:sz w:val="18"/>
                <w:szCs w:val="18"/>
                <w:lang w:val="et-EE"/>
              </w:rPr>
              <w:t xml:space="preserve"> </w:t>
            </w:r>
            <w:r w:rsidRPr="00FD5087">
              <w:rPr>
                <w:rFonts w:cs="Arial"/>
                <w:sz w:val="18"/>
                <w:szCs w:val="18"/>
                <w:lang w:val="et-EE"/>
              </w:rPr>
              <w:t>eesmärgi sisse jäämiseks võib CO2 ekvivalendi tonni hind jääda vahemikku 245–14 300</w:t>
            </w:r>
            <w:r w:rsidRPr="00FD5087">
              <w:rPr>
                <w:rFonts w:cs="Arial"/>
                <w:bCs w:val="0"/>
                <w:sz w:val="18"/>
                <w:szCs w:val="18"/>
                <w:lang w:val="et-EE"/>
              </w:rPr>
              <w:t xml:space="preserve"> </w:t>
            </w:r>
            <w:r w:rsidRPr="00FD5087">
              <w:rPr>
                <w:rFonts w:cs="Arial"/>
                <w:sz w:val="18"/>
                <w:szCs w:val="18"/>
                <w:lang w:val="et-EE"/>
              </w:rPr>
              <w:t>dollarit (2010. aasta hindades). Kuna õlitehase varikulu ühiskonnale on kahtlemata suur,</w:t>
            </w:r>
            <w:r w:rsidRPr="00FD5087">
              <w:rPr>
                <w:rFonts w:cs="Arial"/>
                <w:bCs w:val="0"/>
                <w:sz w:val="18"/>
                <w:szCs w:val="18"/>
                <w:lang w:val="et-EE"/>
              </w:rPr>
              <w:t xml:space="preserve"> </w:t>
            </w:r>
            <w:r w:rsidRPr="00FD5087">
              <w:rPr>
                <w:rFonts w:cs="Arial"/>
                <w:b/>
                <w:bCs w:val="0"/>
                <w:sz w:val="18"/>
                <w:szCs w:val="18"/>
                <w:lang w:val="et-EE"/>
              </w:rPr>
              <w:t xml:space="preserve">palume teha ajakohane õlitehase </w:t>
            </w:r>
            <w:proofErr w:type="spellStart"/>
            <w:r w:rsidRPr="00FD5087">
              <w:rPr>
                <w:rFonts w:cs="Arial"/>
                <w:b/>
                <w:bCs w:val="0"/>
                <w:sz w:val="18"/>
                <w:szCs w:val="18"/>
                <w:lang w:val="et-EE"/>
              </w:rPr>
              <w:t>sotsiaal-majandusliku</w:t>
            </w:r>
            <w:proofErr w:type="spellEnd"/>
            <w:r w:rsidRPr="00FD5087">
              <w:rPr>
                <w:rFonts w:cs="Arial"/>
                <w:b/>
                <w:bCs w:val="0"/>
                <w:sz w:val="18"/>
                <w:szCs w:val="18"/>
                <w:lang w:val="et-EE"/>
              </w:rPr>
              <w:t xml:space="preserve"> mõju analüüs, milles antakse hinnang ka õlitehase varikulule.</w:t>
            </w:r>
          </w:p>
        </w:tc>
        <w:tc>
          <w:tcPr>
            <w:tcW w:w="7377" w:type="dxa"/>
            <w:shd w:val="clear" w:color="auto" w:fill="FFFFFF" w:themeFill="background1"/>
            <w:vAlign w:val="top"/>
          </w:tcPr>
          <w:p w14:paraId="22413C8B" w14:textId="776B6124" w:rsidR="000F321F" w:rsidRDefault="000F321F" w:rsidP="009647D3">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lastRenderedPageBreak/>
              <w:t>KMH p</w:t>
            </w:r>
            <w:r w:rsidR="001C17E3" w:rsidRPr="00FD5087">
              <w:rPr>
                <w:rFonts w:cs="Arial"/>
                <w:sz w:val="18"/>
                <w:szCs w:val="18"/>
                <w:lang w:val="et-EE"/>
              </w:rPr>
              <w:t>rogramm</w:t>
            </w:r>
            <w:r>
              <w:rPr>
                <w:rFonts w:cs="Arial"/>
                <w:sz w:val="18"/>
                <w:szCs w:val="18"/>
                <w:lang w:val="et-EE"/>
              </w:rPr>
              <w:t>is on tabelis 6.1 Komisjoni kliimakindluse juhendile viidatud kui alusdokumendile, mida kasutatakse avariiliste juhtudega-riskidega seotud kliimakindluse hindamisel</w:t>
            </w:r>
            <w:r w:rsidR="00903E94">
              <w:rPr>
                <w:rFonts w:cs="Arial"/>
                <w:sz w:val="18"/>
                <w:szCs w:val="18"/>
                <w:lang w:val="et-EE"/>
              </w:rPr>
              <w:t>.</w:t>
            </w:r>
            <w:r>
              <w:rPr>
                <w:rFonts w:cs="Arial"/>
                <w:sz w:val="18"/>
                <w:szCs w:val="18"/>
                <w:lang w:val="et-EE"/>
              </w:rPr>
              <w:t xml:space="preserve"> See ei tähenda, et seda juhendit kogu</w:t>
            </w:r>
            <w:r w:rsidR="00A4651B">
              <w:rPr>
                <w:rFonts w:cs="Arial"/>
                <w:sz w:val="18"/>
                <w:szCs w:val="18"/>
                <w:lang w:val="et-EE"/>
              </w:rPr>
              <w:t xml:space="preserve"> mahus ka </w:t>
            </w:r>
            <w:r>
              <w:rPr>
                <w:rFonts w:cs="Arial"/>
                <w:sz w:val="18"/>
                <w:szCs w:val="18"/>
                <w:lang w:val="et-EE"/>
              </w:rPr>
              <w:t xml:space="preserve">kasutatakse – KMH ei tegele </w:t>
            </w:r>
            <w:proofErr w:type="spellStart"/>
            <w:r>
              <w:rPr>
                <w:rFonts w:cs="Arial"/>
                <w:sz w:val="18"/>
                <w:szCs w:val="18"/>
                <w:lang w:val="et-EE"/>
              </w:rPr>
              <w:t>sotsiaal-majandusliku</w:t>
            </w:r>
            <w:proofErr w:type="spellEnd"/>
            <w:r>
              <w:rPr>
                <w:rFonts w:cs="Arial"/>
                <w:sz w:val="18"/>
                <w:szCs w:val="18"/>
                <w:lang w:val="et-EE"/>
              </w:rPr>
              <w:t xml:space="preserve"> mõju hindamisega</w:t>
            </w:r>
            <w:r w:rsidR="00A4651B">
              <w:rPr>
                <w:rFonts w:cs="Arial"/>
                <w:sz w:val="18"/>
                <w:szCs w:val="18"/>
                <w:lang w:val="et-EE"/>
              </w:rPr>
              <w:t>.</w:t>
            </w:r>
            <w:r>
              <w:rPr>
                <w:rFonts w:cs="Arial"/>
                <w:sz w:val="18"/>
                <w:szCs w:val="18"/>
                <w:lang w:val="et-EE"/>
              </w:rPr>
              <w:t xml:space="preserve"> </w:t>
            </w:r>
          </w:p>
          <w:p w14:paraId="76DA4F2F" w14:textId="73DCF15A" w:rsidR="00A4651B" w:rsidRDefault="000F321F" w:rsidP="009647D3">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Märgime, et s</w:t>
            </w:r>
            <w:r w:rsidR="00A4651B">
              <w:rPr>
                <w:rFonts w:cs="Arial"/>
                <w:sz w:val="18"/>
                <w:szCs w:val="18"/>
                <w:lang w:val="et-EE"/>
              </w:rPr>
              <w:t xml:space="preserve">iiani ei ole </w:t>
            </w:r>
            <w:r w:rsidR="00095321">
              <w:rPr>
                <w:rFonts w:cs="Arial"/>
                <w:sz w:val="18"/>
                <w:szCs w:val="18"/>
                <w:lang w:val="et-EE"/>
              </w:rPr>
              <w:t xml:space="preserve">erinevaid </w:t>
            </w:r>
            <w:r>
              <w:rPr>
                <w:rFonts w:cs="Arial"/>
                <w:sz w:val="18"/>
                <w:szCs w:val="18"/>
                <w:lang w:val="et-EE"/>
              </w:rPr>
              <w:t xml:space="preserve">varikulusid </w:t>
            </w:r>
            <w:proofErr w:type="spellStart"/>
            <w:r>
              <w:rPr>
                <w:rFonts w:cs="Arial"/>
                <w:sz w:val="18"/>
                <w:szCs w:val="18"/>
                <w:lang w:val="et-EE"/>
              </w:rPr>
              <w:t>sotsiaal-majandusliku</w:t>
            </w:r>
            <w:proofErr w:type="spellEnd"/>
            <w:r>
              <w:rPr>
                <w:rFonts w:cs="Arial"/>
                <w:sz w:val="18"/>
                <w:szCs w:val="18"/>
                <w:lang w:val="et-EE"/>
              </w:rPr>
              <w:t xml:space="preserve"> mõju hindamisel arvesse võetud, </w:t>
            </w:r>
            <w:r w:rsidR="00A4651B">
              <w:rPr>
                <w:rFonts w:cs="Arial"/>
                <w:sz w:val="18"/>
                <w:szCs w:val="18"/>
                <w:lang w:val="et-EE"/>
              </w:rPr>
              <w:t xml:space="preserve">välja arvatud kaudselt </w:t>
            </w:r>
            <w:r>
              <w:rPr>
                <w:rFonts w:cs="Arial"/>
                <w:sz w:val="18"/>
                <w:szCs w:val="18"/>
                <w:lang w:val="et-EE"/>
              </w:rPr>
              <w:t xml:space="preserve">enne Komisjoni kliimakindluse juhendi avaldamist tehtud </w:t>
            </w:r>
            <w:r w:rsidR="00A4651B">
              <w:rPr>
                <w:rFonts w:cs="Arial"/>
                <w:sz w:val="18"/>
                <w:szCs w:val="18"/>
                <w:lang w:val="et-EE"/>
              </w:rPr>
              <w:t xml:space="preserve">taristuprojektide </w:t>
            </w:r>
            <w:r>
              <w:rPr>
                <w:rFonts w:cs="Arial"/>
                <w:sz w:val="18"/>
                <w:szCs w:val="18"/>
                <w:lang w:val="et-EE"/>
              </w:rPr>
              <w:t xml:space="preserve">mõju </w:t>
            </w:r>
            <w:r w:rsidR="00A4651B">
              <w:rPr>
                <w:rFonts w:cs="Arial"/>
                <w:sz w:val="18"/>
                <w:szCs w:val="18"/>
                <w:lang w:val="et-EE"/>
              </w:rPr>
              <w:t>hindamise</w:t>
            </w:r>
            <w:r>
              <w:rPr>
                <w:rFonts w:cs="Arial"/>
                <w:sz w:val="18"/>
                <w:szCs w:val="18"/>
                <w:lang w:val="et-EE"/>
              </w:rPr>
              <w:t xml:space="preserve"> käigus</w:t>
            </w:r>
            <w:r w:rsidR="00871D94">
              <w:rPr>
                <w:rFonts w:cs="Arial"/>
                <w:sz w:val="18"/>
                <w:szCs w:val="18"/>
                <w:lang w:val="et-EE"/>
              </w:rPr>
              <w:t xml:space="preserve"> (ja seejuures on kasutatud </w:t>
            </w:r>
            <w:r w:rsidR="00903E94">
              <w:rPr>
                <w:rFonts w:cs="Arial"/>
                <w:sz w:val="18"/>
                <w:szCs w:val="18"/>
                <w:lang w:val="et-EE"/>
              </w:rPr>
              <w:t>j</w:t>
            </w:r>
            <w:r w:rsidR="00871D94">
              <w:rPr>
                <w:rFonts w:cs="Arial"/>
                <w:sz w:val="18"/>
                <w:szCs w:val="18"/>
                <w:lang w:val="et-EE"/>
              </w:rPr>
              <w:t>ärgmises punktis toodud enneaegsete surmade kontseptsiooni, kuid vastupidises võtmes – liiklusohutuse kasv vähendab enneaegseid surmasid, mis õigustab investeeringute tegemist ja ka olulisuse künnist mitteületavate keskkonnamõjude avaldamist)</w:t>
            </w:r>
            <w:r>
              <w:rPr>
                <w:rFonts w:cs="Arial"/>
                <w:sz w:val="18"/>
                <w:szCs w:val="18"/>
                <w:lang w:val="et-EE"/>
              </w:rPr>
              <w:t>. Nendime, et Komisjoni juhend käsitleb taristuprojekte ja kohaldub projektidele, mille investeerimisotsus tehakse pärast juhendi vastuvõtmist</w:t>
            </w:r>
            <w:r w:rsidR="00A4651B">
              <w:rPr>
                <w:rFonts w:cs="Arial"/>
                <w:sz w:val="18"/>
                <w:szCs w:val="18"/>
                <w:lang w:val="et-EE"/>
              </w:rPr>
              <w:t>. Seetõttu ei ole seda teha asjakohane seni kuni vastavate tööstuslike projektide</w:t>
            </w:r>
            <w:r>
              <w:rPr>
                <w:rFonts w:cs="Arial"/>
                <w:sz w:val="18"/>
                <w:szCs w:val="18"/>
                <w:lang w:val="et-EE"/>
              </w:rPr>
              <w:t xml:space="preserve"> hindamise </w:t>
            </w:r>
            <w:r w:rsidR="00A4651B">
              <w:rPr>
                <w:rFonts w:cs="Arial"/>
                <w:sz w:val="18"/>
                <w:szCs w:val="18"/>
                <w:lang w:val="et-EE"/>
              </w:rPr>
              <w:t xml:space="preserve"> metoodika on välja töötatud.</w:t>
            </w:r>
            <w:r>
              <w:rPr>
                <w:rFonts w:cs="Arial"/>
                <w:sz w:val="18"/>
                <w:szCs w:val="18"/>
                <w:lang w:val="et-EE"/>
              </w:rPr>
              <w:t xml:space="preserve"> Kuid sellisel juhul rakendub see pärast vastava juhendi vastuvõtmist, mitte ei kohaldata seda tagantjärgi kõikide tehtud otsuste ümberhindamiseks. </w:t>
            </w:r>
          </w:p>
          <w:p w14:paraId="2F5CF78C" w14:textId="538AEB95" w:rsidR="00A4651B" w:rsidRPr="00FD5087" w:rsidRDefault="00A4651B" w:rsidP="009647D3">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 xml:space="preserve">  </w:t>
            </w:r>
          </w:p>
        </w:tc>
      </w:tr>
      <w:tr w:rsidR="00AF66F4" w:rsidRPr="00FD5087" w14:paraId="46CD2FAA"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050A4DFD" w14:textId="77777777" w:rsidR="00AF66F4" w:rsidRPr="00FD5087" w:rsidRDefault="00AF66F4" w:rsidP="009647D3">
            <w:pPr>
              <w:spacing w:beforeLines="60" w:before="144"/>
              <w:rPr>
                <w:rFonts w:cs="Arial"/>
                <w:b/>
                <w:sz w:val="18"/>
                <w:szCs w:val="18"/>
                <w:lang w:val="et-EE"/>
              </w:rPr>
            </w:pPr>
            <w:r w:rsidRPr="00FD5087">
              <w:rPr>
                <w:rFonts w:cs="Arial"/>
                <w:b/>
                <w:bCs w:val="0"/>
                <w:sz w:val="18"/>
                <w:szCs w:val="18"/>
                <w:lang w:val="et-EE"/>
              </w:rPr>
              <w:t>4.2.6 Õlitehase käitamisega kaasnevad enneaegsed surmad</w:t>
            </w:r>
          </w:p>
          <w:p w14:paraId="6419FC5F" w14:textId="4B6B1087" w:rsidR="00AF66F4" w:rsidRPr="00FD5087" w:rsidRDefault="00AF66F4" w:rsidP="00FD5087">
            <w:pPr>
              <w:pStyle w:val="Teksttabel"/>
              <w:spacing w:before="144"/>
              <w:rPr>
                <w:lang w:val="et-EE"/>
              </w:rPr>
            </w:pPr>
            <w:r w:rsidRPr="00FD5087">
              <w:rPr>
                <w:lang w:val="et-EE"/>
              </w:rPr>
              <w:t>Õlitehase käitamise ning selles valmistatud toodete põletamisega kaasneb oluline süsinikuheide, mis süvendab kliimamuutuseid ja sellega kuumusest tulenevaid kahjulikke mõjusid inimeste tervisele üle maailma. Ühe tonni süsihappegaasi paiskamine atmosfääri põhjustab kliimamuutuste süvendamisega üle maailma keskmiselt 0,000226 enneaegset surma aastatel 2020–2100.</w:t>
            </w:r>
            <w:r w:rsidR="00FD5087">
              <w:rPr>
                <w:rStyle w:val="FootnoteReference"/>
                <w:lang w:val="et-EE"/>
              </w:rPr>
              <w:footnoteReference w:id="22"/>
            </w:r>
            <w:r w:rsidRPr="00FD5087">
              <w:rPr>
                <w:lang w:val="et-EE"/>
              </w:rPr>
              <w:t xml:space="preserve"> Seega põhjustab õlitehas </w:t>
            </w:r>
            <w:r w:rsidRPr="00FD5087">
              <w:rPr>
                <w:u w:val="single"/>
                <w:lang w:val="et-EE"/>
              </w:rPr>
              <w:t>iga aasta kohta, mil see töötab</w:t>
            </w:r>
            <w:r w:rsidRPr="00FD5087">
              <w:rPr>
                <w:lang w:val="et-EE"/>
              </w:rPr>
              <w:t xml:space="preserve"> kompleksloa taotluses esitatud näitajatega, </w:t>
            </w:r>
            <w:r w:rsidRPr="00FD5087">
              <w:rPr>
                <w:u w:val="single"/>
                <w:lang w:val="et-EE"/>
              </w:rPr>
              <w:t>maailmas 200 enneaegset surma</w:t>
            </w:r>
            <w:r w:rsidRPr="00FD5087">
              <w:rPr>
                <w:lang w:val="et-EE"/>
              </w:rPr>
              <w:t>,</w:t>
            </w:r>
            <w:r w:rsidR="00FD5087">
              <w:rPr>
                <w:rStyle w:val="FootnoteReference"/>
                <w:lang w:val="et-EE"/>
              </w:rPr>
              <w:footnoteReference w:id="23"/>
            </w:r>
            <w:r w:rsidRPr="00FD5087">
              <w:rPr>
                <w:lang w:val="et-EE"/>
              </w:rPr>
              <w:t xml:space="preserve"> koos õlitehases valmistatud toodete põletamisega </w:t>
            </w:r>
            <w:r w:rsidRPr="008C1544">
              <w:rPr>
                <w:u w:val="single"/>
                <w:lang w:val="et-EE"/>
              </w:rPr>
              <w:t>488 enneaegset surma</w:t>
            </w:r>
            <w:r w:rsidRPr="00FD5087">
              <w:rPr>
                <w:lang w:val="et-EE"/>
              </w:rPr>
              <w:t>.</w:t>
            </w:r>
            <w:r w:rsidR="008C1544">
              <w:rPr>
                <w:rStyle w:val="FootnoteReference"/>
                <w:lang w:val="et-EE"/>
              </w:rPr>
              <w:footnoteReference w:id="24"/>
            </w:r>
            <w:r w:rsidRPr="00FD5087">
              <w:rPr>
                <w:lang w:val="et-EE"/>
              </w:rPr>
              <w:t xml:space="preserve"> Isegi realistliku stsenaariumi ja leevendamismeetmete rakendamise korral põhjustab õlitehas iga aasta ko</w:t>
            </w:r>
            <w:r w:rsidR="008C1544">
              <w:rPr>
                <w:lang w:val="et-EE"/>
              </w:rPr>
              <w:t>ht</w:t>
            </w:r>
            <w:r w:rsidRPr="00FD5087">
              <w:rPr>
                <w:lang w:val="et-EE"/>
              </w:rPr>
              <w:t xml:space="preserve">a </w:t>
            </w:r>
            <w:r w:rsidRPr="008C1544">
              <w:rPr>
                <w:u w:val="single"/>
                <w:lang w:val="et-EE"/>
              </w:rPr>
              <w:t>118 enneaegset surma</w:t>
            </w:r>
            <w:r w:rsidRPr="00FD5087">
              <w:rPr>
                <w:lang w:val="et-EE"/>
              </w:rPr>
              <w:t xml:space="preserve"> üle maailma,</w:t>
            </w:r>
            <w:r w:rsidR="008C1544">
              <w:rPr>
                <w:rStyle w:val="FootnoteReference"/>
                <w:lang w:val="et-EE"/>
              </w:rPr>
              <w:footnoteReference w:id="25"/>
            </w:r>
            <w:r w:rsidRPr="00FD5087">
              <w:rPr>
                <w:lang w:val="et-EE"/>
              </w:rPr>
              <w:t xml:space="preserve"> koos õlitehases valmistatud toodete põletamisega aga </w:t>
            </w:r>
            <w:r w:rsidRPr="008C1544">
              <w:rPr>
                <w:u w:val="single"/>
                <w:lang w:val="et-EE"/>
              </w:rPr>
              <w:lastRenderedPageBreak/>
              <w:t>348 enneaegset surma</w:t>
            </w:r>
            <w:r w:rsidRPr="00FD5087">
              <w:rPr>
                <w:lang w:val="et-EE"/>
              </w:rPr>
              <w:t>.</w:t>
            </w:r>
            <w:r w:rsidR="008C1544">
              <w:rPr>
                <w:rStyle w:val="FootnoteReference"/>
                <w:lang w:val="et-EE"/>
              </w:rPr>
              <w:footnoteReference w:id="26"/>
            </w:r>
            <w:r w:rsidRPr="00FD5087">
              <w:rPr>
                <w:lang w:val="et-EE"/>
              </w:rPr>
              <w:t xml:space="preserve"> Mõlema stsenaariumi korral lisanduvad enneaegsed surmad, mida põhjustavad muud kliimamuutustega kaasnevad nähud lisaks kõrgematele õhutemperatuuridele (nt üleujutused, põuad, relvakonfliktid). Kuna kliimamuutuste tõttu süvenevad kuumalained Eestiski ning nendega kaasneb liigsuremus</w:t>
            </w:r>
            <w:r w:rsidR="008C1544">
              <w:rPr>
                <w:rStyle w:val="FootnoteReference"/>
                <w:lang w:val="et-EE"/>
              </w:rPr>
              <w:footnoteReference w:id="27"/>
            </w:r>
            <w:r w:rsidRPr="00FD5087">
              <w:rPr>
                <w:lang w:val="et-EE"/>
              </w:rPr>
              <w:t xml:space="preserve">, siis põhjustab õlitehase käitamine enneaegseid surmasid ka Eestis. </w:t>
            </w:r>
            <w:r w:rsidRPr="008C1544">
              <w:rPr>
                <w:b/>
                <w:bCs w:val="0"/>
                <w:lang w:val="et-EE"/>
              </w:rPr>
              <w:t>Palume KMH aruandes tuua välja õlitehase käitamise ning õlitehases valmistatud toodete põletamisega kaasnevast süsinikuheitest põhjustatud enneaegsete surmade arv.</w:t>
            </w:r>
          </w:p>
        </w:tc>
        <w:tc>
          <w:tcPr>
            <w:tcW w:w="7377" w:type="dxa"/>
            <w:shd w:val="clear" w:color="auto" w:fill="FFFFFF" w:themeFill="background1"/>
            <w:vAlign w:val="top"/>
          </w:tcPr>
          <w:p w14:paraId="429E6C17" w14:textId="19156D13" w:rsidR="00E646C2" w:rsidRDefault="00871D94" w:rsidP="00144482">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lastRenderedPageBreak/>
              <w:t>Enneaegsete surmade kontseptsiooni ei ole siiani keskkonnakaitselubade ega muude tegevuslubade väljastamisel</w:t>
            </w:r>
            <w:r w:rsidR="000B412C">
              <w:rPr>
                <w:rFonts w:cs="Arial"/>
                <w:sz w:val="18"/>
                <w:szCs w:val="18"/>
                <w:lang w:val="et-EE"/>
              </w:rPr>
              <w:t xml:space="preserve"> läbiviidud hindamiste raames</w:t>
            </w:r>
            <w:r>
              <w:rPr>
                <w:rFonts w:cs="Arial"/>
                <w:sz w:val="18"/>
                <w:szCs w:val="18"/>
                <w:lang w:val="et-EE"/>
              </w:rPr>
              <w:t xml:space="preserve"> kasutatud. </w:t>
            </w:r>
            <w:r w:rsidR="000B412C">
              <w:rPr>
                <w:rFonts w:cs="Arial"/>
                <w:sz w:val="18"/>
                <w:szCs w:val="18"/>
                <w:lang w:val="et-EE"/>
              </w:rPr>
              <w:t>Enneaegsed surmad on kogusega seotud statistiline näitaja ja seda saab omistada ka muudele mõjuteguritele kui CO</w:t>
            </w:r>
            <w:r w:rsidR="000B412C" w:rsidRPr="000B412C">
              <w:rPr>
                <w:rFonts w:cs="Arial"/>
                <w:sz w:val="18"/>
                <w:szCs w:val="18"/>
                <w:vertAlign w:val="subscript"/>
                <w:lang w:val="et-EE"/>
              </w:rPr>
              <w:t>2</w:t>
            </w:r>
            <w:r w:rsidR="000B412C">
              <w:rPr>
                <w:rFonts w:cs="Arial"/>
                <w:sz w:val="18"/>
                <w:szCs w:val="18"/>
                <w:lang w:val="et-EE"/>
              </w:rPr>
              <w:t xml:space="preserve"> heide, näiteks peenosakeste (PM10), eriti peenete osakeste jt inimtegevuse käi</w:t>
            </w:r>
            <w:r w:rsidR="00903E94">
              <w:rPr>
                <w:rFonts w:cs="Arial"/>
                <w:sz w:val="18"/>
                <w:szCs w:val="18"/>
                <w:lang w:val="et-EE"/>
              </w:rPr>
              <w:t>g</w:t>
            </w:r>
            <w:r w:rsidR="000B412C">
              <w:rPr>
                <w:rFonts w:cs="Arial"/>
                <w:sz w:val="18"/>
                <w:szCs w:val="18"/>
                <w:lang w:val="et-EE"/>
              </w:rPr>
              <w:t>us tekkivatele saasteainete heitele. Kokkuvõttes on võimalik välja arvestada ka inimese elutegevusega kaasneda võiva</w:t>
            </w:r>
            <w:r w:rsidR="002C32F8">
              <w:rPr>
                <w:rFonts w:cs="Arial"/>
                <w:sz w:val="18"/>
                <w:szCs w:val="18"/>
                <w:lang w:val="et-EE"/>
              </w:rPr>
              <w:t>t</w:t>
            </w:r>
            <w:r w:rsidR="000B412C">
              <w:rPr>
                <w:rFonts w:cs="Arial"/>
                <w:sz w:val="18"/>
                <w:szCs w:val="18"/>
                <w:lang w:val="et-EE"/>
              </w:rPr>
              <w:t xml:space="preserve"> statistilis</w:t>
            </w:r>
            <w:r w:rsidR="002C32F8">
              <w:rPr>
                <w:rFonts w:cs="Arial"/>
                <w:sz w:val="18"/>
                <w:szCs w:val="18"/>
                <w:lang w:val="et-EE"/>
              </w:rPr>
              <w:t>t</w:t>
            </w:r>
            <w:r w:rsidR="000B412C">
              <w:rPr>
                <w:rFonts w:cs="Arial"/>
                <w:sz w:val="18"/>
                <w:szCs w:val="18"/>
                <w:lang w:val="et-EE"/>
              </w:rPr>
              <w:t xml:space="preserve"> hei</w:t>
            </w:r>
            <w:r w:rsidR="002C32F8">
              <w:rPr>
                <w:rFonts w:cs="Arial"/>
                <w:sz w:val="18"/>
                <w:szCs w:val="18"/>
                <w:lang w:val="et-EE"/>
              </w:rPr>
              <w:t>d</w:t>
            </w:r>
            <w:r w:rsidR="000B412C">
              <w:rPr>
                <w:rFonts w:cs="Arial"/>
                <w:sz w:val="18"/>
                <w:szCs w:val="18"/>
                <w:lang w:val="et-EE"/>
              </w:rPr>
              <w:t>e</w:t>
            </w:r>
            <w:r w:rsidR="002C32F8">
              <w:rPr>
                <w:rFonts w:cs="Arial"/>
                <w:sz w:val="18"/>
                <w:szCs w:val="18"/>
                <w:lang w:val="et-EE"/>
              </w:rPr>
              <w:t>t</w:t>
            </w:r>
            <w:r w:rsidR="000B412C">
              <w:rPr>
                <w:rFonts w:cs="Arial"/>
                <w:sz w:val="18"/>
                <w:szCs w:val="18"/>
                <w:lang w:val="et-EE"/>
              </w:rPr>
              <w:t xml:space="preserve"> ja tõenäoliselt on see üks põhjuseid, miks õhusaasteainete heite avaldatavat mõju iseloomustatakse saasteainete kontsenratsiooni vastavuse kaudu õhukvaliteedi piirväärtustele</w:t>
            </w:r>
            <w:r w:rsidR="00E646C2">
              <w:rPr>
                <w:rFonts w:cs="Arial"/>
                <w:sz w:val="18"/>
                <w:szCs w:val="18"/>
                <w:lang w:val="et-EE"/>
              </w:rPr>
              <w:t xml:space="preserve"> – jääb ära vajadus sätestada, mitu surma on erinevate tegevuste puhul veel õigustatud risk</w:t>
            </w:r>
            <w:r w:rsidR="000B412C">
              <w:rPr>
                <w:rFonts w:cs="Arial"/>
                <w:sz w:val="18"/>
                <w:szCs w:val="18"/>
                <w:lang w:val="et-EE"/>
              </w:rPr>
              <w:t xml:space="preserve">. </w:t>
            </w:r>
          </w:p>
          <w:p w14:paraId="646B3A0C" w14:textId="0968AD34" w:rsidR="000B412C" w:rsidRDefault="000B412C" w:rsidP="00144482">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Kuid tervisega seotud teadusuuringutes ja ka selle valdkonna strateegiliste arengudokumentide koostamisel on see näitaja kasutusel, sh </w:t>
            </w:r>
            <w:r w:rsidR="00E646C2">
              <w:rPr>
                <w:rFonts w:cs="Arial"/>
                <w:sz w:val="18"/>
                <w:szCs w:val="18"/>
                <w:lang w:val="et-EE"/>
              </w:rPr>
              <w:t>Rahvastiku tervise arengukavas 2020-2030 on seda läbivalt kasutatud erinevate probleemide</w:t>
            </w:r>
            <w:r w:rsidR="0052140A">
              <w:rPr>
                <w:rFonts w:cs="Arial"/>
                <w:sz w:val="18"/>
                <w:szCs w:val="18"/>
                <w:lang w:val="et-EE"/>
              </w:rPr>
              <w:t xml:space="preserve"> </w:t>
            </w:r>
            <w:r w:rsidR="00E646C2">
              <w:rPr>
                <w:rFonts w:cs="Arial"/>
                <w:sz w:val="18"/>
                <w:szCs w:val="18"/>
                <w:lang w:val="et-EE"/>
              </w:rPr>
              <w:t>iseloomustamisel ja eesmärkide</w:t>
            </w:r>
            <w:r w:rsidR="002C32F8">
              <w:rPr>
                <w:rFonts w:cs="Arial"/>
                <w:sz w:val="18"/>
                <w:szCs w:val="18"/>
                <w:lang w:val="et-EE"/>
              </w:rPr>
              <w:t xml:space="preserve"> sõnastamisel</w:t>
            </w:r>
            <w:r w:rsidR="00E646C2">
              <w:rPr>
                <w:rFonts w:cs="Arial"/>
                <w:sz w:val="18"/>
                <w:szCs w:val="18"/>
                <w:lang w:val="et-EE"/>
              </w:rPr>
              <w:t xml:space="preserve">-sekkumise </w:t>
            </w:r>
            <w:r w:rsidR="00E646C2">
              <w:rPr>
                <w:rFonts w:cs="Arial"/>
                <w:sz w:val="18"/>
                <w:szCs w:val="18"/>
                <w:lang w:val="et-EE"/>
              </w:rPr>
              <w:lastRenderedPageBreak/>
              <w:t>prioriteetide seadmisel</w:t>
            </w:r>
            <w:r w:rsidR="0052140A">
              <w:rPr>
                <w:rFonts w:cs="Arial"/>
                <w:sz w:val="18"/>
                <w:szCs w:val="18"/>
                <w:lang w:val="et-EE"/>
              </w:rPr>
              <w:t xml:space="preserve"> ning </w:t>
            </w:r>
            <w:r w:rsidR="002C32F8">
              <w:rPr>
                <w:rFonts w:cs="Arial"/>
                <w:sz w:val="18"/>
                <w:szCs w:val="18"/>
                <w:lang w:val="et-EE"/>
              </w:rPr>
              <w:t xml:space="preserve">tegevuste </w:t>
            </w:r>
            <w:r w:rsidR="0052140A">
              <w:rPr>
                <w:rFonts w:cs="Arial"/>
                <w:sz w:val="18"/>
                <w:szCs w:val="18"/>
                <w:lang w:val="et-EE"/>
              </w:rPr>
              <w:t>tulemuslikkuse arvestamisel (</w:t>
            </w:r>
            <w:r w:rsidR="0052140A" w:rsidRPr="0052140A">
              <w:rPr>
                <w:rFonts w:cs="Arial"/>
                <w:sz w:val="18"/>
                <w:szCs w:val="18"/>
                <w:lang w:val="et-EE"/>
              </w:rPr>
              <w:t>https://www.sm.ee/sites/default/files/content-editors/Tervishoid/rta_05.05.pdf</w:t>
            </w:r>
            <w:r w:rsidR="0052140A">
              <w:rPr>
                <w:rFonts w:cs="Arial"/>
                <w:sz w:val="18"/>
                <w:szCs w:val="18"/>
                <w:lang w:val="et-EE"/>
              </w:rPr>
              <w:t>)</w:t>
            </w:r>
            <w:r w:rsidR="00E646C2">
              <w:rPr>
                <w:rFonts w:cs="Arial"/>
                <w:sz w:val="18"/>
                <w:szCs w:val="18"/>
                <w:lang w:val="et-EE"/>
              </w:rPr>
              <w:t xml:space="preserve">.   </w:t>
            </w:r>
          </w:p>
          <w:p w14:paraId="53F3B0A9" w14:textId="203A068A" w:rsidR="00A4651B" w:rsidRPr="00FD5087" w:rsidRDefault="00A4651B" w:rsidP="000B412C">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p>
        </w:tc>
      </w:tr>
      <w:tr w:rsidR="00AF66F4" w:rsidRPr="00FD5087" w14:paraId="4218491D"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79C9B59C" w14:textId="77777777" w:rsidR="00AF66F4" w:rsidRPr="00FD5087" w:rsidRDefault="00AF66F4" w:rsidP="009647D3">
            <w:pPr>
              <w:spacing w:beforeLines="60" w:before="144"/>
              <w:rPr>
                <w:rFonts w:cs="Arial"/>
                <w:b/>
                <w:bCs w:val="0"/>
                <w:sz w:val="18"/>
                <w:szCs w:val="18"/>
                <w:lang w:val="et-EE"/>
              </w:rPr>
            </w:pPr>
            <w:r w:rsidRPr="00FD5087">
              <w:rPr>
                <w:rFonts w:cs="Arial"/>
                <w:b/>
                <w:bCs w:val="0"/>
                <w:sz w:val="18"/>
                <w:szCs w:val="18"/>
                <w:lang w:val="et-EE"/>
              </w:rPr>
              <w:lastRenderedPageBreak/>
              <w:t>4.2.7 Avalik huvi</w:t>
            </w:r>
          </w:p>
          <w:p w14:paraId="6897B5BD" w14:textId="0A622B17" w:rsidR="00AF66F4" w:rsidRPr="00FD5087" w:rsidRDefault="00AF66F4" w:rsidP="00AF66F4">
            <w:pPr>
              <w:spacing w:beforeLines="60" w:before="144"/>
              <w:rPr>
                <w:rFonts w:cs="Arial"/>
                <w:sz w:val="18"/>
                <w:szCs w:val="18"/>
                <w:lang w:val="et-EE"/>
              </w:rPr>
            </w:pPr>
            <w:r w:rsidRPr="00FD5087">
              <w:rPr>
                <w:rFonts w:cs="Arial"/>
                <w:sz w:val="18"/>
                <w:szCs w:val="18"/>
                <w:lang w:val="et-EE"/>
              </w:rPr>
              <w:t xml:space="preserve">Leiame, et uus terviklik </w:t>
            </w:r>
            <w:proofErr w:type="spellStart"/>
            <w:r w:rsidRPr="00FD5087">
              <w:rPr>
                <w:rFonts w:cs="Arial"/>
                <w:sz w:val="18"/>
                <w:szCs w:val="18"/>
                <w:lang w:val="et-EE"/>
              </w:rPr>
              <w:t>sotsiaal-majandusliku</w:t>
            </w:r>
            <w:proofErr w:type="spellEnd"/>
            <w:r w:rsidRPr="00FD5087">
              <w:rPr>
                <w:rFonts w:cs="Arial"/>
                <w:sz w:val="18"/>
                <w:szCs w:val="18"/>
                <w:lang w:val="et-EE"/>
              </w:rPr>
              <w:t xml:space="preserve"> mõju analüüs tuleks läbi viia ainuüksi </w:t>
            </w:r>
            <w:r w:rsidRPr="009D405D">
              <w:rPr>
                <w:rFonts w:cs="Arial"/>
                <w:sz w:val="18"/>
                <w:szCs w:val="18"/>
                <w:u w:val="single"/>
                <w:lang w:val="et-EE"/>
              </w:rPr>
              <w:t>olulisest</w:t>
            </w:r>
            <w:r w:rsidRPr="009D405D">
              <w:rPr>
                <w:rFonts w:cs="Arial"/>
                <w:bCs w:val="0"/>
                <w:sz w:val="18"/>
                <w:szCs w:val="18"/>
                <w:u w:val="single"/>
                <w:lang w:val="et-EE"/>
              </w:rPr>
              <w:t xml:space="preserve"> </w:t>
            </w:r>
            <w:r w:rsidRPr="009D405D">
              <w:rPr>
                <w:rFonts w:cs="Arial"/>
                <w:sz w:val="18"/>
                <w:szCs w:val="18"/>
                <w:u w:val="single"/>
                <w:lang w:val="et-EE"/>
              </w:rPr>
              <w:t>avalikust huvist tulenevalt</w:t>
            </w:r>
            <w:r w:rsidRPr="00FD5087">
              <w:rPr>
                <w:rFonts w:cs="Arial"/>
                <w:sz w:val="18"/>
                <w:szCs w:val="18"/>
                <w:lang w:val="et-EE"/>
              </w:rPr>
              <w:t>. Sellele juhtis mh tähelepanu ka Rahandusministeerium oma tagasisides KMH programmile ning kaudselt ka Riigikontroll oma päringus</w:t>
            </w:r>
            <w:r w:rsidR="009D405D">
              <w:rPr>
                <w:rStyle w:val="FootnoteReference"/>
                <w:rFonts w:cs="Arial"/>
                <w:sz w:val="18"/>
                <w:szCs w:val="18"/>
                <w:lang w:val="et-EE"/>
              </w:rPr>
              <w:footnoteReference w:id="28"/>
            </w:r>
            <w:r w:rsidRPr="00FD5087">
              <w:rPr>
                <w:rFonts w:cs="Arial"/>
                <w:sz w:val="18"/>
                <w:szCs w:val="18"/>
                <w:lang w:val="et-EE"/>
              </w:rPr>
              <w:t>. Enefit Power AS</w:t>
            </w:r>
            <w:r w:rsidRPr="00FD5087">
              <w:rPr>
                <w:rFonts w:cs="Arial"/>
                <w:bCs w:val="0"/>
                <w:sz w:val="18"/>
                <w:szCs w:val="18"/>
                <w:lang w:val="et-EE"/>
              </w:rPr>
              <w:t xml:space="preserve"> </w:t>
            </w:r>
            <w:r w:rsidRPr="00FD5087">
              <w:rPr>
                <w:rFonts w:cs="Arial"/>
                <w:sz w:val="18"/>
                <w:szCs w:val="18"/>
                <w:lang w:val="et-EE"/>
              </w:rPr>
              <w:t>on riigiettevõte, mis toodab fossiilkütuseid ning kasutab selleks olulises mahus avalikke</w:t>
            </w:r>
            <w:r w:rsidRPr="00FD5087">
              <w:rPr>
                <w:rFonts w:cs="Arial"/>
                <w:bCs w:val="0"/>
                <w:sz w:val="18"/>
                <w:szCs w:val="18"/>
                <w:lang w:val="et-EE"/>
              </w:rPr>
              <w:t xml:space="preserve"> </w:t>
            </w:r>
            <w:r w:rsidRPr="00FD5087">
              <w:rPr>
                <w:rFonts w:cs="Arial"/>
                <w:sz w:val="18"/>
                <w:szCs w:val="18"/>
                <w:lang w:val="et-EE"/>
              </w:rPr>
              <w:t>vahendeid. Avalikkusel on õigus teada, milliseid riske maksumaksjate rahade eest võetakse</w:t>
            </w:r>
            <w:r w:rsidRPr="00FD5087">
              <w:rPr>
                <w:rFonts w:cs="Arial"/>
                <w:bCs w:val="0"/>
                <w:sz w:val="18"/>
                <w:szCs w:val="18"/>
                <w:lang w:val="et-EE"/>
              </w:rPr>
              <w:t xml:space="preserve"> </w:t>
            </w:r>
            <w:r w:rsidRPr="00FD5087">
              <w:rPr>
                <w:rFonts w:cs="Arial"/>
                <w:sz w:val="18"/>
                <w:szCs w:val="18"/>
                <w:lang w:val="et-EE"/>
              </w:rPr>
              <w:t>ning kas ja mis võiks õigustada taolise keskkonnaohu põhjustamist, sh teiste sektorite</w:t>
            </w:r>
            <w:r w:rsidRPr="00FD5087">
              <w:rPr>
                <w:rFonts w:cs="Arial"/>
                <w:bCs w:val="0"/>
                <w:sz w:val="18"/>
                <w:szCs w:val="18"/>
                <w:lang w:val="et-EE"/>
              </w:rPr>
              <w:t xml:space="preserve"> </w:t>
            </w:r>
            <w:r w:rsidRPr="00FD5087">
              <w:rPr>
                <w:rFonts w:cs="Arial"/>
                <w:sz w:val="18"/>
                <w:szCs w:val="18"/>
                <w:lang w:val="et-EE"/>
              </w:rPr>
              <w:t>asetamist suurema surve alla kliimaeesmärkide saavutamisel. Oluline on siin ka tõik, et</w:t>
            </w:r>
            <w:r w:rsidRPr="00FD5087">
              <w:rPr>
                <w:rFonts w:cs="Arial"/>
                <w:bCs w:val="0"/>
                <w:sz w:val="18"/>
                <w:szCs w:val="18"/>
                <w:lang w:val="et-EE"/>
              </w:rPr>
              <w:t xml:space="preserve"> </w:t>
            </w:r>
            <w:r w:rsidRPr="00FD5087">
              <w:rPr>
                <w:rFonts w:cs="Arial"/>
                <w:sz w:val="18"/>
                <w:szCs w:val="18"/>
                <w:lang w:val="et-EE"/>
              </w:rPr>
              <w:t>kliimamuutuse mõjud ning kliimamuutuse pidurdamiseks tehtavad jõupingutused mõjutavad</w:t>
            </w:r>
            <w:r w:rsidRPr="00FD5087">
              <w:rPr>
                <w:rFonts w:cs="Arial"/>
                <w:bCs w:val="0"/>
                <w:sz w:val="18"/>
                <w:szCs w:val="18"/>
                <w:lang w:val="et-EE"/>
              </w:rPr>
              <w:t xml:space="preserve"> </w:t>
            </w:r>
            <w:r w:rsidRPr="00FD5087">
              <w:rPr>
                <w:rFonts w:cs="Arial"/>
                <w:sz w:val="18"/>
                <w:szCs w:val="18"/>
                <w:lang w:val="et-EE"/>
              </w:rPr>
              <w:t>mitmeid Eesti kodanike (põhi)seadusega tagatud õigusi ja vabadusi. Näiteks põhjustab</w:t>
            </w:r>
            <w:r w:rsidRPr="00FD5087">
              <w:rPr>
                <w:rFonts w:cs="Arial"/>
                <w:bCs w:val="0"/>
                <w:sz w:val="18"/>
                <w:szCs w:val="18"/>
                <w:lang w:val="et-EE"/>
              </w:rPr>
              <w:t xml:space="preserve"> </w:t>
            </w:r>
            <w:r w:rsidRPr="00FD5087">
              <w:rPr>
                <w:rFonts w:cs="Arial"/>
                <w:sz w:val="18"/>
                <w:szCs w:val="18"/>
                <w:lang w:val="et-EE"/>
              </w:rPr>
              <w:t>kliimamuutus liigsuremust ka Eestis, nagu märgitud punktis 4.2.6. Samuti, kui praegu lükata</w:t>
            </w:r>
            <w:r w:rsidRPr="00FD5087">
              <w:rPr>
                <w:rFonts w:cs="Arial"/>
                <w:bCs w:val="0"/>
                <w:sz w:val="18"/>
                <w:szCs w:val="18"/>
                <w:lang w:val="et-EE"/>
              </w:rPr>
              <w:t xml:space="preserve"> </w:t>
            </w:r>
            <w:r w:rsidRPr="00FD5087">
              <w:rPr>
                <w:rFonts w:cs="Arial"/>
                <w:sz w:val="18"/>
                <w:szCs w:val="18"/>
                <w:lang w:val="et-EE"/>
              </w:rPr>
              <w:t xml:space="preserve">tegutsemist edasi ning väljastada kergekäeliselt lube </w:t>
            </w:r>
            <w:r w:rsidRPr="00FD5087">
              <w:rPr>
                <w:rFonts w:cs="Arial"/>
                <w:sz w:val="18"/>
                <w:szCs w:val="18"/>
                <w:lang w:val="et-EE"/>
              </w:rPr>
              <w:lastRenderedPageBreak/>
              <w:t>süsinikumahukatele projektidele, võib</w:t>
            </w:r>
            <w:r w:rsidRPr="00FD5087">
              <w:rPr>
                <w:rFonts w:cs="Arial"/>
                <w:bCs w:val="0"/>
                <w:sz w:val="18"/>
                <w:szCs w:val="18"/>
                <w:lang w:val="et-EE"/>
              </w:rPr>
              <w:t xml:space="preserve"> </w:t>
            </w:r>
            <w:r w:rsidRPr="00FD5087">
              <w:rPr>
                <w:rFonts w:cs="Arial"/>
                <w:sz w:val="18"/>
                <w:szCs w:val="18"/>
                <w:lang w:val="et-EE"/>
              </w:rPr>
              <w:t>juhtuda, et kliimasoojenemise piiramine ja riiklike kliimakohustuste täitmine tulevikus oleks</w:t>
            </w:r>
            <w:r w:rsidRPr="00FD5087">
              <w:rPr>
                <w:rFonts w:cs="Arial"/>
                <w:bCs w:val="0"/>
                <w:sz w:val="18"/>
                <w:szCs w:val="18"/>
                <w:lang w:val="et-EE"/>
              </w:rPr>
              <w:t xml:space="preserve"> </w:t>
            </w:r>
            <w:r w:rsidRPr="00FD5087">
              <w:rPr>
                <w:rFonts w:cs="Arial"/>
                <w:sz w:val="18"/>
                <w:szCs w:val="18"/>
                <w:lang w:val="et-EE"/>
              </w:rPr>
              <w:t>võimalik ainult kiireloomuliste ja lühiajaliste meetmetega, mis tähendaks sisuliselt kõigi</w:t>
            </w:r>
            <w:r w:rsidRPr="00FD5087">
              <w:rPr>
                <w:rFonts w:cs="Arial"/>
                <w:bCs w:val="0"/>
                <w:sz w:val="18"/>
                <w:szCs w:val="18"/>
                <w:lang w:val="et-EE"/>
              </w:rPr>
              <w:t xml:space="preserve"> </w:t>
            </w:r>
            <w:r w:rsidRPr="00FD5087">
              <w:rPr>
                <w:rFonts w:cs="Arial"/>
                <w:sz w:val="18"/>
                <w:szCs w:val="18"/>
                <w:lang w:val="et-EE"/>
              </w:rPr>
              <w:t>põhiseaduslike vabaduste drastilist piiramist, kuna kõik inimelu valdkonnad on KHG</w:t>
            </w:r>
            <w:r w:rsidRPr="00FD5087">
              <w:rPr>
                <w:rFonts w:cs="Arial"/>
                <w:bCs w:val="0"/>
                <w:sz w:val="18"/>
                <w:szCs w:val="18"/>
                <w:lang w:val="et-EE"/>
              </w:rPr>
              <w:t xml:space="preserve"> </w:t>
            </w:r>
            <w:r w:rsidRPr="00FD5087">
              <w:rPr>
                <w:rFonts w:cs="Arial"/>
                <w:sz w:val="18"/>
                <w:szCs w:val="18"/>
                <w:lang w:val="et-EE"/>
              </w:rPr>
              <w:t>emissioonidega seotud.</w:t>
            </w:r>
            <w:r w:rsidR="009D405D">
              <w:rPr>
                <w:rStyle w:val="FootnoteReference"/>
                <w:rFonts w:cs="Arial"/>
                <w:sz w:val="18"/>
                <w:szCs w:val="18"/>
                <w:lang w:val="et-EE"/>
              </w:rPr>
              <w:footnoteReference w:id="29"/>
            </w:r>
          </w:p>
        </w:tc>
        <w:tc>
          <w:tcPr>
            <w:tcW w:w="7377" w:type="dxa"/>
            <w:shd w:val="clear" w:color="auto" w:fill="FFFFFF" w:themeFill="background1"/>
            <w:vAlign w:val="top"/>
          </w:tcPr>
          <w:p w14:paraId="39EA195A" w14:textId="3C5DD4AC" w:rsidR="001E3B9D" w:rsidRDefault="00767AEC" w:rsidP="603E8256">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767AEC">
              <w:rPr>
                <w:rFonts w:cs="Arial"/>
                <w:sz w:val="18"/>
                <w:szCs w:val="18"/>
                <w:lang w:val="et-EE"/>
              </w:rPr>
              <w:lastRenderedPageBreak/>
              <w:t>Punktile 3.2 antud vastusest tuleneb, et ei ole tõendatav</w:t>
            </w:r>
            <w:r w:rsidR="00903E94">
              <w:rPr>
                <w:rFonts w:cs="Arial"/>
                <w:sz w:val="18"/>
                <w:szCs w:val="18"/>
                <w:lang w:val="et-EE"/>
              </w:rPr>
              <w:t>,</w:t>
            </w:r>
            <w:r w:rsidRPr="00767AEC">
              <w:rPr>
                <w:rFonts w:cs="Arial"/>
                <w:sz w:val="18"/>
                <w:szCs w:val="18"/>
                <w:lang w:val="et-EE"/>
              </w:rPr>
              <w:t xml:space="preserve"> et selline oht tekib</w:t>
            </w:r>
            <w:r>
              <w:rPr>
                <w:rFonts w:cs="Arial"/>
                <w:sz w:val="18"/>
                <w:szCs w:val="18"/>
                <w:lang w:val="et-EE"/>
              </w:rPr>
              <w:t xml:space="preserve">, seetõttu ei ole ka punktis 4.2.1 toodud ülekaaluka huvi sätete kasutamine </w:t>
            </w:r>
            <w:r w:rsidRPr="00767AEC">
              <w:rPr>
                <w:rFonts w:cs="Arial"/>
                <w:sz w:val="18"/>
                <w:szCs w:val="18"/>
                <w:lang w:val="et-EE"/>
              </w:rPr>
              <w:t>põhjendatud</w:t>
            </w:r>
            <w:r w:rsidR="001E3B9D">
              <w:rPr>
                <w:rFonts w:cs="Arial"/>
                <w:sz w:val="18"/>
                <w:szCs w:val="18"/>
                <w:lang w:val="et-EE"/>
              </w:rPr>
              <w:t xml:space="preserve">. Kui hinnata viidatud Riigikontrolli </w:t>
            </w:r>
            <w:r w:rsidR="001E3B9D" w:rsidRPr="001E3B9D">
              <w:rPr>
                <w:rFonts w:cs="Arial"/>
                <w:sz w:val="18"/>
                <w:szCs w:val="18"/>
                <w:lang w:val="et-EE"/>
              </w:rPr>
              <w:t xml:space="preserve">20.07.2021 </w:t>
            </w:r>
            <w:r w:rsidR="001E3B9D">
              <w:rPr>
                <w:rFonts w:cs="Arial"/>
                <w:sz w:val="18"/>
                <w:szCs w:val="18"/>
                <w:lang w:val="et-EE"/>
              </w:rPr>
              <w:t>kirja</w:t>
            </w:r>
            <w:r w:rsidR="00903E94">
              <w:rPr>
                <w:rFonts w:cs="Arial"/>
                <w:sz w:val="18"/>
                <w:szCs w:val="18"/>
                <w:lang w:val="et-EE"/>
              </w:rPr>
              <w:t>le</w:t>
            </w:r>
            <w:r w:rsidR="001E3B9D">
              <w:rPr>
                <w:rFonts w:cs="Arial"/>
                <w:sz w:val="18"/>
                <w:szCs w:val="18"/>
                <w:lang w:val="et-EE"/>
              </w:rPr>
              <w:t xml:space="preserve"> </w:t>
            </w:r>
            <w:r w:rsidR="001E3B9D" w:rsidRPr="001E3B9D">
              <w:rPr>
                <w:rFonts w:cs="Arial"/>
                <w:sz w:val="18"/>
                <w:szCs w:val="18"/>
                <w:lang w:val="et-EE"/>
              </w:rPr>
              <w:t>nr 1-5/21/501</w:t>
            </w:r>
            <w:r w:rsidR="00903E94">
              <w:rPr>
                <w:rFonts w:cs="Arial"/>
                <w:sz w:val="18"/>
                <w:szCs w:val="18"/>
                <w:lang w:val="et-EE"/>
              </w:rPr>
              <w:t>,</w:t>
            </w:r>
            <w:r w:rsidR="001E3B9D">
              <w:rPr>
                <w:rFonts w:cs="Arial"/>
                <w:sz w:val="18"/>
                <w:szCs w:val="18"/>
                <w:lang w:val="et-EE"/>
              </w:rPr>
              <w:t xml:space="preserve"> siis nähtub, et esitatud küsimused lähtuvad suuresti eeldusest, et  „</w:t>
            </w:r>
            <w:r w:rsidR="001E3B9D" w:rsidRPr="001E3B9D">
              <w:rPr>
                <w:rFonts w:cs="Arial"/>
                <w:sz w:val="18"/>
                <w:szCs w:val="18"/>
                <w:lang w:val="et-EE"/>
              </w:rPr>
              <w:t>Valitsuse tegevusprogrammis on punkt, mis ütleb, et eesmärk on loobuda täielikult põlevkivi kasutamisest aastaks 2040</w:t>
            </w:r>
            <w:r w:rsidR="001E3B9D">
              <w:rPr>
                <w:rFonts w:cs="Arial"/>
                <w:sz w:val="18"/>
                <w:szCs w:val="18"/>
                <w:lang w:val="et-EE"/>
              </w:rPr>
              <w:t>“. Valitsuse tegevusprogramm ja selle alusel koostatud arengudokumendid sõnastavad, et 2040. aastaks loobutakse täielikult põlevkivi kasutamisest energeetikas. Riigikontrolli kirjast kaudselt olulise avaliku huvi väljalugemist saab eeldatavalt siduda viidatud riigiabi reeglistikuga, kuid kirjas on otsesõnu viidatud, et „</w:t>
            </w:r>
            <w:r w:rsidR="001E3B9D" w:rsidRPr="001E3B9D">
              <w:rPr>
                <w:rFonts w:cs="Arial"/>
                <w:sz w:val="18"/>
                <w:szCs w:val="18"/>
                <w:lang w:val="et-EE"/>
              </w:rPr>
              <w:t xml:space="preserve">Vabariigi Valitsuse liikmed on otsust kommenteerides selgitanud, et aktsiakapitali laiendamine põlevkiviõlitehase loomiseks aitab muu hulgas luua ja säilitada töökohti Ida-Virumaal ning teenida riigile maksutulu, mis on </w:t>
            </w:r>
            <w:proofErr w:type="spellStart"/>
            <w:r w:rsidR="001E3B9D" w:rsidRPr="001E3B9D">
              <w:rPr>
                <w:rFonts w:cs="Arial"/>
                <w:sz w:val="18"/>
                <w:szCs w:val="18"/>
                <w:lang w:val="et-EE"/>
              </w:rPr>
              <w:t>sotsiaal-majanduslikust</w:t>
            </w:r>
            <w:proofErr w:type="spellEnd"/>
            <w:r w:rsidR="001E3B9D" w:rsidRPr="001E3B9D">
              <w:rPr>
                <w:rFonts w:cs="Arial"/>
                <w:sz w:val="18"/>
                <w:szCs w:val="18"/>
                <w:lang w:val="et-EE"/>
              </w:rPr>
              <w:t xml:space="preserve"> ja riigi tulude vaatenurgast mõistetav püüd</w:t>
            </w:r>
            <w:r w:rsidR="001E3B9D">
              <w:rPr>
                <w:rFonts w:cs="Arial"/>
                <w:sz w:val="18"/>
                <w:szCs w:val="18"/>
                <w:lang w:val="et-EE"/>
              </w:rPr>
              <w:t>“</w:t>
            </w:r>
            <w:r w:rsidR="001E3B9D" w:rsidRPr="001E3B9D">
              <w:rPr>
                <w:rFonts w:cs="Arial"/>
                <w:sz w:val="18"/>
                <w:szCs w:val="18"/>
                <w:lang w:val="et-EE"/>
              </w:rPr>
              <w:t>.</w:t>
            </w:r>
            <w:r w:rsidR="001E3B9D">
              <w:rPr>
                <w:rFonts w:cs="Arial"/>
                <w:sz w:val="18"/>
                <w:szCs w:val="18"/>
                <w:lang w:val="et-EE"/>
              </w:rPr>
              <w:t xml:space="preserve"> Teadaolevalt ei ole Riigikontroll järgnevalt algatanud menetlusi ega ka vaidlustanud </w:t>
            </w:r>
            <w:r w:rsidR="001E3B9D" w:rsidRPr="001E3B9D">
              <w:rPr>
                <w:rFonts w:cs="Arial"/>
                <w:sz w:val="18"/>
                <w:szCs w:val="18"/>
                <w:lang w:val="et-EE"/>
              </w:rPr>
              <w:t>Õiglase ülemineku territoriaalses kava</w:t>
            </w:r>
            <w:r w:rsidR="001E3B9D">
              <w:rPr>
                <w:rFonts w:cs="Arial"/>
                <w:sz w:val="18"/>
                <w:szCs w:val="18"/>
                <w:lang w:val="et-EE"/>
              </w:rPr>
              <w:t xml:space="preserve"> meetmeid. Rahandusministeerium ei esitanud oma seisukohta </w:t>
            </w:r>
            <w:proofErr w:type="spellStart"/>
            <w:r w:rsidR="001E3B9D">
              <w:rPr>
                <w:rFonts w:cs="Arial"/>
                <w:sz w:val="18"/>
                <w:szCs w:val="18"/>
                <w:lang w:val="et-EE"/>
              </w:rPr>
              <w:t>sotsiaal-majanduslike</w:t>
            </w:r>
            <w:proofErr w:type="spellEnd"/>
            <w:r w:rsidR="001E3B9D">
              <w:rPr>
                <w:rFonts w:cs="Arial"/>
                <w:sz w:val="18"/>
                <w:szCs w:val="18"/>
                <w:lang w:val="et-EE"/>
              </w:rPr>
              <w:t xml:space="preserve"> mõjude asjakohaseks hindamiseks KMH programmile lähtudes punktis 4.2.1 esitatud avaliku huvi tõlgendusest („</w:t>
            </w:r>
            <w:r w:rsidR="001E3B9D" w:rsidRPr="001E3B9D">
              <w:rPr>
                <w:rFonts w:cs="Arial"/>
                <w:sz w:val="18"/>
                <w:szCs w:val="18"/>
                <w:lang w:val="et-EE"/>
              </w:rPr>
              <w:t xml:space="preserve">13. Lähtuvalt suurest </w:t>
            </w:r>
            <w:r w:rsidR="001E3B9D" w:rsidRPr="001E3B9D">
              <w:rPr>
                <w:rFonts w:cs="Arial"/>
                <w:sz w:val="18"/>
                <w:szCs w:val="18"/>
                <w:lang w:val="et-EE"/>
              </w:rPr>
              <w:lastRenderedPageBreak/>
              <w:t xml:space="preserve">avalikust huvist kõnealuse Enefit 280-2 tehase rajamise vastu, teeme ettepaneku kaaluda täiendava asjakohaste mõjude hinnangu koostamist, mis võimaldab aja- ja asjakohase teabe pinnalt </w:t>
            </w:r>
            <w:proofErr w:type="spellStart"/>
            <w:r w:rsidR="001E3B9D" w:rsidRPr="001E3B9D">
              <w:rPr>
                <w:rFonts w:cs="Arial"/>
                <w:sz w:val="18"/>
                <w:szCs w:val="18"/>
                <w:lang w:val="et-EE"/>
              </w:rPr>
              <w:t>sotsiaal-majanduslikke</w:t>
            </w:r>
            <w:proofErr w:type="spellEnd"/>
            <w:r w:rsidR="001E3B9D" w:rsidRPr="001E3B9D">
              <w:rPr>
                <w:rFonts w:cs="Arial"/>
                <w:sz w:val="18"/>
                <w:szCs w:val="18"/>
                <w:lang w:val="et-EE"/>
              </w:rPr>
              <w:t xml:space="preserve"> mõjusid adekvaatselt hinnata.</w:t>
            </w:r>
            <w:r w:rsidR="001E3B9D">
              <w:rPr>
                <w:rFonts w:cs="Arial"/>
                <w:sz w:val="18"/>
                <w:szCs w:val="18"/>
                <w:lang w:val="et-EE"/>
              </w:rPr>
              <w:t xml:space="preserve">“). Vastuses viidati, et eelnevalt on KSH aruande koosseisus </w:t>
            </w:r>
            <w:proofErr w:type="spellStart"/>
            <w:r w:rsidR="001E3B9D">
              <w:rPr>
                <w:rFonts w:cs="Arial"/>
                <w:sz w:val="18"/>
                <w:szCs w:val="18"/>
                <w:lang w:val="et-EE"/>
              </w:rPr>
              <w:t>sotsiaal-majandusliku</w:t>
            </w:r>
            <w:proofErr w:type="spellEnd"/>
            <w:r w:rsidR="001E3B9D">
              <w:rPr>
                <w:rFonts w:cs="Arial"/>
                <w:sz w:val="18"/>
                <w:szCs w:val="18"/>
                <w:lang w:val="et-EE"/>
              </w:rPr>
              <w:t xml:space="preserve"> mõju ülevaade esitatud ja seda uuesti ei tehta (seejuures tuginedes ka ministeeriumi samas kirjas esitatud seisukohale, et KMH-</w:t>
            </w:r>
            <w:proofErr w:type="spellStart"/>
            <w:r w:rsidR="001E3B9D">
              <w:rPr>
                <w:rFonts w:cs="Arial"/>
                <w:sz w:val="18"/>
                <w:szCs w:val="18"/>
                <w:lang w:val="et-EE"/>
              </w:rPr>
              <w:t>ga</w:t>
            </w:r>
            <w:proofErr w:type="spellEnd"/>
            <w:r w:rsidR="001E3B9D">
              <w:rPr>
                <w:rFonts w:cs="Arial"/>
                <w:sz w:val="18"/>
                <w:szCs w:val="18"/>
                <w:lang w:val="et-EE"/>
              </w:rPr>
              <w:t xml:space="preserve"> ei ole võimalik KSH hinnanguid ajakohastada). Koostamise käigus üldjoontes samad selgitused punktis 4.2 tooduga. </w:t>
            </w:r>
          </w:p>
          <w:p w14:paraId="1F23F91B" w14:textId="436279E3" w:rsidR="00AF66F4" w:rsidRPr="00FD5087" w:rsidRDefault="001E3B9D" w:rsidP="00767AEC">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 xml:space="preserve">Võib mõista erinevate huvirühmade argumente </w:t>
            </w:r>
            <w:proofErr w:type="spellStart"/>
            <w:r>
              <w:rPr>
                <w:rFonts w:cs="Arial"/>
                <w:sz w:val="18"/>
                <w:szCs w:val="18"/>
                <w:lang w:val="et-EE"/>
              </w:rPr>
              <w:t>üje</w:t>
            </w:r>
            <w:proofErr w:type="spellEnd"/>
            <w:r>
              <w:rPr>
                <w:rFonts w:cs="Arial"/>
                <w:sz w:val="18"/>
                <w:szCs w:val="18"/>
                <w:lang w:val="et-EE"/>
              </w:rPr>
              <w:t xml:space="preserve"> või teise seisukoha toetamiseks, kuid nn ühisosa tuleb leida strateegiliste arengudokumentide koostamisel ja </w:t>
            </w:r>
            <w:proofErr w:type="spellStart"/>
            <w:r>
              <w:rPr>
                <w:rFonts w:cs="Arial"/>
                <w:sz w:val="18"/>
                <w:szCs w:val="18"/>
                <w:lang w:val="et-EE"/>
              </w:rPr>
              <w:t>sotsiaal-majanduslike</w:t>
            </w:r>
            <w:proofErr w:type="spellEnd"/>
            <w:r>
              <w:rPr>
                <w:rFonts w:cs="Arial"/>
                <w:sz w:val="18"/>
                <w:szCs w:val="18"/>
                <w:lang w:val="et-EE"/>
              </w:rPr>
              <w:t xml:space="preserve"> mõjude ning kliimamuutuse mõjude vahel on seda püütud teha nt </w:t>
            </w:r>
            <w:r w:rsidRPr="001E3B9D">
              <w:rPr>
                <w:rFonts w:cs="Arial"/>
                <w:sz w:val="18"/>
                <w:szCs w:val="18"/>
                <w:lang w:val="et-EE"/>
              </w:rPr>
              <w:t>Õiglase ülemineku territoriaalses kava</w:t>
            </w:r>
            <w:r>
              <w:rPr>
                <w:rFonts w:cs="Arial"/>
                <w:sz w:val="18"/>
                <w:szCs w:val="18"/>
                <w:lang w:val="et-EE"/>
              </w:rPr>
              <w:t xml:space="preserve"> raames.    </w:t>
            </w:r>
          </w:p>
        </w:tc>
      </w:tr>
      <w:tr w:rsidR="004361E8" w:rsidRPr="00FD5087" w14:paraId="46C0922D"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6595BD59" w14:textId="77777777" w:rsidR="004361E8" w:rsidRPr="00FD5087" w:rsidRDefault="004361E8" w:rsidP="004361E8">
            <w:pPr>
              <w:spacing w:beforeLines="60" w:before="144"/>
              <w:rPr>
                <w:rFonts w:cs="Arial"/>
                <w:b/>
                <w:sz w:val="18"/>
                <w:szCs w:val="18"/>
                <w:lang w:val="et-EE"/>
              </w:rPr>
            </w:pPr>
            <w:r w:rsidRPr="00FD5087">
              <w:rPr>
                <w:rFonts w:cs="Arial"/>
                <w:b/>
                <w:sz w:val="18"/>
                <w:szCs w:val="18"/>
                <w:lang w:val="et-EE"/>
              </w:rPr>
              <w:lastRenderedPageBreak/>
              <w:t>5. Natura hindamine</w:t>
            </w:r>
          </w:p>
          <w:p w14:paraId="17A681FE" w14:textId="66A447A1" w:rsidR="004361E8" w:rsidRPr="00FD5087" w:rsidRDefault="004361E8" w:rsidP="004361E8">
            <w:pPr>
              <w:spacing w:beforeLines="60" w:before="144"/>
              <w:rPr>
                <w:rFonts w:cs="Arial"/>
                <w:sz w:val="18"/>
                <w:szCs w:val="18"/>
                <w:lang w:val="et-EE"/>
              </w:rPr>
            </w:pPr>
            <w:r w:rsidRPr="00FD5087">
              <w:rPr>
                <w:rFonts w:cs="Arial"/>
                <w:sz w:val="18"/>
                <w:szCs w:val="18"/>
                <w:lang w:val="et-EE"/>
              </w:rPr>
              <w:t>Oleme seisukohal, et KMH aruandes on Natura hindamine puudulik. Puudulik on seejuures</w:t>
            </w:r>
            <w:r w:rsidRPr="00FD5087">
              <w:rPr>
                <w:rFonts w:cs="Arial"/>
                <w:bCs w:val="0"/>
                <w:sz w:val="18"/>
                <w:szCs w:val="18"/>
                <w:lang w:val="et-EE"/>
              </w:rPr>
              <w:t xml:space="preserve"> </w:t>
            </w:r>
            <w:r w:rsidRPr="00FD5087">
              <w:rPr>
                <w:rFonts w:cs="Arial"/>
                <w:sz w:val="18"/>
                <w:szCs w:val="18"/>
                <w:lang w:val="et-EE"/>
              </w:rPr>
              <w:t>nii õlitehase käitamise otseste mõjude käsitlus kui hinnang õlitehase rajamise mõjule</w:t>
            </w:r>
            <w:r w:rsidRPr="00FD5087">
              <w:rPr>
                <w:rFonts w:cs="Arial"/>
                <w:bCs w:val="0"/>
                <w:sz w:val="18"/>
                <w:szCs w:val="18"/>
                <w:lang w:val="et-EE"/>
              </w:rPr>
              <w:t xml:space="preserve"> </w:t>
            </w:r>
            <w:r w:rsidRPr="00FD5087">
              <w:rPr>
                <w:rFonts w:cs="Arial"/>
                <w:sz w:val="18"/>
                <w:szCs w:val="18"/>
                <w:lang w:val="et-EE"/>
              </w:rPr>
              <w:t>koosmõjus muude tegevuste ja projektidega.</w:t>
            </w:r>
          </w:p>
        </w:tc>
        <w:tc>
          <w:tcPr>
            <w:tcW w:w="7377" w:type="dxa"/>
            <w:shd w:val="clear" w:color="auto" w:fill="FFFFFF" w:themeFill="background1"/>
            <w:vAlign w:val="top"/>
          </w:tcPr>
          <w:p w14:paraId="69D5B654" w14:textId="3C59CC5A" w:rsidR="00213402" w:rsidRPr="00FD5087" w:rsidRDefault="00BA6DF6" w:rsidP="00213402">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Võib järeldada, et sarnaselt eelmistele punktidele väljendub arvamus Natura hindamise puudulikkusest järgnevatel alapunktidel. Üldistatult nendime, et kõiki KMH-s (ja ka eelnevalt KSH-s) käsitletud mõjusid on hinnatud kavandatavate tegevuste koosmõjus muude tegevuste ja projektidega. Seejuures, kuna ökosüsteemidele avalduvad mõjud väljenduvad pikemal ajaskaalal, on hinnangute andmisel muuhulgas arvestatud ka kavandatavale tegevusele eelnenud perioodidel avaldatud mõju suurusest ja olulisusest.     </w:t>
            </w:r>
          </w:p>
        </w:tc>
      </w:tr>
      <w:tr w:rsidR="004361E8" w:rsidRPr="00FD5087" w14:paraId="4E86C7D4" w14:textId="77777777" w:rsidTr="6A2673F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202085DB" w14:textId="77777777" w:rsidR="004361E8" w:rsidRPr="00FD5087" w:rsidRDefault="004361E8" w:rsidP="009647D3">
            <w:pPr>
              <w:spacing w:beforeLines="60" w:before="144"/>
              <w:rPr>
                <w:rFonts w:cs="Arial"/>
                <w:b/>
                <w:bCs w:val="0"/>
                <w:sz w:val="18"/>
                <w:szCs w:val="18"/>
                <w:lang w:val="et-EE"/>
              </w:rPr>
            </w:pPr>
            <w:r w:rsidRPr="00FD5087">
              <w:rPr>
                <w:rFonts w:cs="Arial"/>
                <w:b/>
                <w:bCs w:val="0"/>
                <w:sz w:val="18"/>
                <w:szCs w:val="18"/>
                <w:lang w:val="et-EE"/>
              </w:rPr>
              <w:t>5.1. Õhusaaste mõju linnustikule</w:t>
            </w:r>
          </w:p>
          <w:p w14:paraId="4A248467" w14:textId="3F933EDE" w:rsidR="004361E8" w:rsidRPr="00FD5087" w:rsidRDefault="004361E8" w:rsidP="004361E8">
            <w:pPr>
              <w:spacing w:beforeLines="60" w:before="144"/>
              <w:rPr>
                <w:rFonts w:cs="Arial"/>
                <w:sz w:val="18"/>
                <w:szCs w:val="18"/>
                <w:lang w:val="et-EE"/>
              </w:rPr>
            </w:pPr>
            <w:r w:rsidRPr="00FD5087">
              <w:rPr>
                <w:rFonts w:cs="Arial"/>
                <w:sz w:val="18"/>
                <w:szCs w:val="18"/>
                <w:lang w:val="et-EE"/>
              </w:rPr>
              <w:t>Puhatu linnuala kohta on KMH aruandes öeldud: “Kui lindude puhul eeldada saasteainete</w:t>
            </w:r>
            <w:r w:rsidRPr="00FD5087">
              <w:rPr>
                <w:rFonts w:cs="Arial"/>
                <w:bCs w:val="0"/>
                <w:sz w:val="18"/>
                <w:szCs w:val="18"/>
                <w:lang w:val="et-EE"/>
              </w:rPr>
              <w:t xml:space="preserve"> </w:t>
            </w:r>
            <w:r w:rsidRPr="00FD5087">
              <w:rPr>
                <w:rFonts w:cs="Arial"/>
                <w:sz w:val="18"/>
                <w:szCs w:val="18"/>
                <w:lang w:val="et-EE"/>
              </w:rPr>
              <w:t>sarnast mõju kui inimestele, on õhusaasteainete kontsentratsioonid selles piirkonnas oluliselt</w:t>
            </w:r>
            <w:r w:rsidRPr="00FD5087">
              <w:rPr>
                <w:rFonts w:cs="Arial"/>
                <w:bCs w:val="0"/>
                <w:sz w:val="18"/>
                <w:szCs w:val="18"/>
                <w:lang w:val="et-EE"/>
              </w:rPr>
              <w:t xml:space="preserve"> </w:t>
            </w:r>
            <w:r w:rsidRPr="00FD5087">
              <w:rPr>
                <w:rFonts w:cs="Arial"/>
                <w:sz w:val="18"/>
                <w:szCs w:val="18"/>
                <w:lang w:val="et-EE"/>
              </w:rPr>
              <w:t xml:space="preserve">väiksemad kehtestatud piirväärtustest, Enefit280-2 </w:t>
            </w:r>
            <w:r w:rsidRPr="00FD5087">
              <w:rPr>
                <w:rFonts w:cs="Arial"/>
                <w:bCs w:val="0"/>
                <w:sz w:val="18"/>
                <w:szCs w:val="18"/>
                <w:lang w:val="et-EE"/>
              </w:rPr>
              <w:t xml:space="preserve"> </w:t>
            </w:r>
            <w:proofErr w:type="spellStart"/>
            <w:r w:rsidRPr="00FD5087">
              <w:rPr>
                <w:rFonts w:cs="Arial"/>
                <w:bCs w:val="0"/>
                <w:sz w:val="18"/>
                <w:szCs w:val="18"/>
                <w:lang w:val="et-EE"/>
              </w:rPr>
              <w:t>k</w:t>
            </w:r>
            <w:r w:rsidRPr="00FD5087">
              <w:rPr>
                <w:rFonts w:cs="Arial"/>
                <w:sz w:val="18"/>
                <w:szCs w:val="18"/>
                <w:lang w:val="et-EE"/>
              </w:rPr>
              <w:t>äikuandmisega</w:t>
            </w:r>
            <w:proofErr w:type="spellEnd"/>
            <w:r w:rsidRPr="00FD5087">
              <w:rPr>
                <w:rFonts w:cs="Arial"/>
                <w:sz w:val="18"/>
                <w:szCs w:val="18"/>
                <w:lang w:val="et-EE"/>
              </w:rPr>
              <w:t xml:space="preserve"> ei kaasne saastetasemes</w:t>
            </w:r>
            <w:r w:rsidRPr="00FD5087">
              <w:rPr>
                <w:rFonts w:cs="Arial"/>
                <w:bCs w:val="0"/>
                <w:sz w:val="18"/>
                <w:szCs w:val="18"/>
                <w:lang w:val="et-EE"/>
              </w:rPr>
              <w:t xml:space="preserve"> </w:t>
            </w:r>
            <w:r w:rsidRPr="00FD5087">
              <w:rPr>
                <w:rFonts w:cs="Arial"/>
                <w:sz w:val="18"/>
                <w:szCs w:val="18"/>
                <w:lang w:val="et-EE"/>
              </w:rPr>
              <w:t>olulist muutust ja ka siin on peamine mõju põlevkivielektrijaamadel” (lisa 4 lk 6). Sisuliselt on</w:t>
            </w:r>
            <w:r w:rsidRPr="00FD5087">
              <w:rPr>
                <w:rFonts w:cs="Arial"/>
                <w:bCs w:val="0"/>
                <w:sz w:val="18"/>
                <w:szCs w:val="18"/>
                <w:lang w:val="et-EE"/>
              </w:rPr>
              <w:t xml:space="preserve"> </w:t>
            </w:r>
            <w:r w:rsidRPr="00FD5087">
              <w:rPr>
                <w:rFonts w:cs="Arial"/>
                <w:sz w:val="18"/>
                <w:szCs w:val="18"/>
                <w:lang w:val="et-EE"/>
              </w:rPr>
              <w:t xml:space="preserve">mõju jäetud hindamata. Esmalt tuleb aruandes </w:t>
            </w:r>
            <w:r w:rsidRPr="00FD5087">
              <w:rPr>
                <w:rFonts w:cs="Arial"/>
                <w:sz w:val="18"/>
                <w:szCs w:val="18"/>
                <w:lang w:val="et-EE"/>
              </w:rPr>
              <w:lastRenderedPageBreak/>
              <w:t>selgitada, millisel viisil saasteainete mõju</w:t>
            </w:r>
            <w:r w:rsidRPr="00FD5087">
              <w:rPr>
                <w:rFonts w:cs="Arial"/>
                <w:bCs w:val="0"/>
                <w:sz w:val="18"/>
                <w:szCs w:val="18"/>
                <w:lang w:val="et-EE"/>
              </w:rPr>
              <w:t xml:space="preserve"> </w:t>
            </w:r>
            <w:r w:rsidRPr="00FD5087">
              <w:rPr>
                <w:rFonts w:cs="Arial"/>
                <w:sz w:val="18"/>
                <w:szCs w:val="18"/>
                <w:lang w:val="et-EE"/>
              </w:rPr>
              <w:t>kaitstavatele elupaikadele ja liikidele avaldub, sh arvestades vastavalt elupaikade ja liikide</w:t>
            </w:r>
            <w:r w:rsidRPr="00FD5087">
              <w:rPr>
                <w:rFonts w:cs="Arial"/>
                <w:bCs w:val="0"/>
                <w:sz w:val="18"/>
                <w:szCs w:val="18"/>
                <w:lang w:val="et-EE"/>
              </w:rPr>
              <w:t xml:space="preserve"> </w:t>
            </w:r>
            <w:r w:rsidRPr="00FD5087">
              <w:rPr>
                <w:rFonts w:cs="Arial"/>
                <w:sz w:val="18"/>
                <w:szCs w:val="18"/>
                <w:lang w:val="et-EE"/>
              </w:rPr>
              <w:t>spetsiifikat. Arusaamatuks jääb eeldus, et lindudele avaldub mõju sarnaselt inimestele, samas</w:t>
            </w:r>
            <w:r w:rsidRPr="00FD5087">
              <w:rPr>
                <w:rFonts w:cs="Arial"/>
                <w:bCs w:val="0"/>
                <w:sz w:val="18"/>
                <w:szCs w:val="18"/>
                <w:lang w:val="et-EE"/>
              </w:rPr>
              <w:t xml:space="preserve"> </w:t>
            </w:r>
            <w:r w:rsidRPr="00FD5087">
              <w:rPr>
                <w:rFonts w:cs="Arial"/>
                <w:sz w:val="18"/>
                <w:szCs w:val="18"/>
                <w:lang w:val="et-EE"/>
              </w:rPr>
              <w:t>kui nende füsioloogia on inimese omast liialt erinev, et taolist üldistust teha. Natura hindamine</w:t>
            </w:r>
            <w:r w:rsidRPr="00FD5087">
              <w:rPr>
                <w:rFonts w:cs="Arial"/>
                <w:bCs w:val="0"/>
                <w:sz w:val="18"/>
                <w:szCs w:val="18"/>
                <w:lang w:val="et-EE"/>
              </w:rPr>
              <w:t xml:space="preserve"> </w:t>
            </w:r>
            <w:r w:rsidRPr="00FD5087">
              <w:rPr>
                <w:rFonts w:cs="Arial"/>
                <w:sz w:val="18"/>
                <w:szCs w:val="18"/>
                <w:lang w:val="et-EE"/>
              </w:rPr>
              <w:t>peab tuginema teaduslikul teadmisel põhinevale analüüsile, ning andma infot mõjude</w:t>
            </w:r>
            <w:r w:rsidRPr="00FD5087">
              <w:rPr>
                <w:rFonts w:cs="Arial"/>
                <w:bCs w:val="0"/>
                <w:sz w:val="18"/>
                <w:szCs w:val="18"/>
                <w:lang w:val="et-EE"/>
              </w:rPr>
              <w:t xml:space="preserve"> </w:t>
            </w:r>
            <w:r w:rsidRPr="00FD5087">
              <w:rPr>
                <w:rFonts w:cs="Arial"/>
                <w:sz w:val="18"/>
                <w:szCs w:val="18"/>
                <w:lang w:val="et-EE"/>
              </w:rPr>
              <w:t>olemuse ja interaktsiooni kohta kaitstavate elupaikade ja liikidega. KMH aruandes</w:t>
            </w:r>
            <w:r w:rsidRPr="00FD5087">
              <w:rPr>
                <w:rFonts w:cs="Arial"/>
                <w:bCs w:val="0"/>
                <w:sz w:val="18"/>
                <w:szCs w:val="18"/>
                <w:lang w:val="et-EE"/>
              </w:rPr>
              <w:t xml:space="preserve"> </w:t>
            </w:r>
            <w:r w:rsidRPr="00FD5087">
              <w:rPr>
                <w:rFonts w:cs="Arial"/>
                <w:sz w:val="18"/>
                <w:szCs w:val="18"/>
                <w:lang w:val="et-EE"/>
              </w:rPr>
              <w:t xml:space="preserve">nõuetekohane käsitlus puudub. </w:t>
            </w:r>
            <w:r w:rsidRPr="00FD5087">
              <w:rPr>
                <w:rFonts w:cs="Arial"/>
                <w:b/>
                <w:bCs w:val="0"/>
                <w:sz w:val="18"/>
                <w:szCs w:val="18"/>
                <w:lang w:val="et-EE"/>
              </w:rPr>
              <w:t xml:space="preserve">Teeme ettepaneku see lünk täita. </w:t>
            </w:r>
          </w:p>
        </w:tc>
        <w:tc>
          <w:tcPr>
            <w:tcW w:w="7377" w:type="dxa"/>
            <w:shd w:val="clear" w:color="auto" w:fill="FFFFFF" w:themeFill="background1"/>
            <w:vAlign w:val="top"/>
          </w:tcPr>
          <w:p w14:paraId="3C849744" w14:textId="732BBAC1" w:rsidR="00213402" w:rsidRPr="00213402" w:rsidRDefault="00213402" w:rsidP="00213402">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213402">
              <w:rPr>
                <w:rFonts w:cs="Arial"/>
                <w:sz w:val="18"/>
                <w:szCs w:val="18"/>
                <w:lang w:val="et-EE"/>
              </w:rPr>
              <w:lastRenderedPageBreak/>
              <w:t xml:space="preserve">Ettepaneku alusel täiendati Natura hindamise osa hinnanguga, kuidas õhusaaste võib mõjutada linnustikku. </w:t>
            </w:r>
          </w:p>
          <w:p w14:paraId="32E2B9E0" w14:textId="1FC3DFBC" w:rsidR="00213402" w:rsidRDefault="00213402" w:rsidP="00213402">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sidRPr="00213402">
              <w:rPr>
                <w:rFonts w:cs="Arial"/>
                <w:sz w:val="18"/>
                <w:szCs w:val="18"/>
                <w:lang w:val="et-EE"/>
              </w:rPr>
              <w:t>Liikidele avalduv mõju väljenduks osalt otsese saasteainete kontsentratsiooni mõju kaudu isenditele. Siinkohal tuleb nentida, et kuigi viitate inimese ja lindude füsioloogia suurele erinevusele, on püsisoojastel organismidel ühine omadus – vere koostises olev hemoglobiin, mistõttu vähemalt süsinikmono</w:t>
            </w:r>
            <w:r w:rsidR="00176CC8">
              <w:rPr>
                <w:rFonts w:cs="Arial"/>
                <w:sz w:val="18"/>
                <w:szCs w:val="18"/>
                <w:lang w:val="et-EE"/>
              </w:rPr>
              <w:t>o</w:t>
            </w:r>
            <w:r w:rsidRPr="00213402">
              <w:rPr>
                <w:rFonts w:cs="Arial"/>
                <w:sz w:val="18"/>
                <w:szCs w:val="18"/>
                <w:lang w:val="et-EE"/>
              </w:rPr>
              <w:t xml:space="preserve">ksiidi toimemehhanism on sarnane ja kokkuvõttes on kõik püsisoojased organismid tundlikud CO madalatele kontsentratsioonidele  (F. </w:t>
            </w:r>
            <w:proofErr w:type="spellStart"/>
            <w:r w:rsidRPr="00213402">
              <w:rPr>
                <w:rFonts w:cs="Arial"/>
                <w:sz w:val="18"/>
                <w:szCs w:val="18"/>
                <w:lang w:val="et-EE"/>
              </w:rPr>
              <w:lastRenderedPageBreak/>
              <w:t>Ramade</w:t>
            </w:r>
            <w:proofErr w:type="spellEnd"/>
            <w:r w:rsidRPr="00213402">
              <w:rPr>
                <w:rFonts w:cs="Arial"/>
                <w:sz w:val="18"/>
                <w:szCs w:val="18"/>
                <w:lang w:val="et-EE"/>
              </w:rPr>
              <w:t xml:space="preserve">. </w:t>
            </w:r>
            <w:proofErr w:type="spellStart"/>
            <w:r w:rsidRPr="00213402">
              <w:rPr>
                <w:rFonts w:cs="Arial"/>
                <w:sz w:val="18"/>
                <w:szCs w:val="18"/>
                <w:lang w:val="et-EE"/>
              </w:rPr>
              <w:t>Ecotoxicology</w:t>
            </w:r>
            <w:proofErr w:type="spellEnd"/>
            <w:r w:rsidRPr="00213402">
              <w:rPr>
                <w:rFonts w:cs="Arial"/>
                <w:sz w:val="18"/>
                <w:szCs w:val="18"/>
                <w:lang w:val="et-EE"/>
              </w:rPr>
              <w:t>. J. Wiley &amp; Sons, 1987; lk 151). Teiste saasteainete toimemehhanism ei ole samavõrd sirgjooneline, kuid siin saab tugineda uuringutele, mis käsitlevad</w:t>
            </w:r>
            <w:r>
              <w:rPr>
                <w:rFonts w:cs="Arial"/>
                <w:sz w:val="18"/>
                <w:szCs w:val="18"/>
                <w:lang w:val="et-EE"/>
              </w:rPr>
              <w:t xml:space="preserve"> näiteks</w:t>
            </w:r>
            <w:r w:rsidRPr="00213402">
              <w:rPr>
                <w:rFonts w:cs="Arial"/>
                <w:sz w:val="18"/>
                <w:szCs w:val="18"/>
                <w:lang w:val="et-EE"/>
              </w:rPr>
              <w:t xml:space="preserve"> suurte elektrijaamade mõju lindudele – tekkida võiv saastainete profiil on sarnane</w:t>
            </w:r>
            <w:r>
              <w:rPr>
                <w:rFonts w:cs="Arial"/>
                <w:sz w:val="18"/>
                <w:szCs w:val="18"/>
                <w:lang w:val="et-EE"/>
              </w:rPr>
              <w:t xml:space="preserve"> ja järeldatakse, et kehtestatud õhukvaliteedi piirväärtuste raamesse jäävad kontsentratsioonid ei mõjuta linde (siinkohal näitena SO</w:t>
            </w:r>
            <w:r w:rsidRPr="00176CC8">
              <w:rPr>
                <w:rFonts w:cs="Arial"/>
                <w:sz w:val="18"/>
                <w:szCs w:val="18"/>
                <w:vertAlign w:val="subscript"/>
                <w:lang w:val="et-EE"/>
              </w:rPr>
              <w:t>2</w:t>
            </w:r>
            <w:r>
              <w:rPr>
                <w:rFonts w:cs="Arial"/>
                <w:sz w:val="18"/>
                <w:szCs w:val="18"/>
                <w:lang w:val="et-EE"/>
              </w:rPr>
              <w:t xml:space="preserve"> kui suurima suhtelise saastetasemega õhusaasteaine uuring</w:t>
            </w:r>
            <w:r w:rsidR="00176CC8">
              <w:rPr>
                <w:rStyle w:val="FootnoteReference"/>
                <w:rFonts w:cs="Arial"/>
                <w:sz w:val="18"/>
                <w:szCs w:val="18"/>
                <w:lang w:val="et-EE"/>
              </w:rPr>
              <w:footnoteReference w:id="30"/>
            </w:r>
            <w:r>
              <w:rPr>
                <w:rFonts w:cs="Arial"/>
                <w:sz w:val="18"/>
                <w:szCs w:val="18"/>
                <w:lang w:val="et-EE"/>
              </w:rPr>
              <w:t>)</w:t>
            </w:r>
            <w:r w:rsidRPr="00213402">
              <w:rPr>
                <w:rFonts w:cs="Arial"/>
                <w:sz w:val="18"/>
                <w:szCs w:val="18"/>
                <w:lang w:val="et-EE"/>
              </w:rPr>
              <w:t xml:space="preserve">.   </w:t>
            </w:r>
          </w:p>
          <w:p w14:paraId="75F837EF" w14:textId="6F302322" w:rsidR="004361E8" w:rsidRPr="00FD5087" w:rsidRDefault="00213402" w:rsidP="00213402">
            <w:pPr>
              <w:spacing w:beforeLines="60" w:before="144"/>
              <w:cnfStyle w:val="000000010000" w:firstRow="0" w:lastRow="0" w:firstColumn="0" w:lastColumn="0" w:oddVBand="0" w:evenVBand="0" w:oddHBand="0" w:evenHBand="1" w:firstRowFirstColumn="0" w:firstRowLastColumn="0" w:lastRowFirstColumn="0" w:lastRowLastColumn="0"/>
              <w:rPr>
                <w:rFonts w:cs="Arial"/>
                <w:sz w:val="18"/>
                <w:szCs w:val="18"/>
                <w:lang w:val="et-EE"/>
              </w:rPr>
            </w:pPr>
            <w:r>
              <w:rPr>
                <w:rFonts w:cs="Arial"/>
                <w:sz w:val="18"/>
                <w:szCs w:val="18"/>
                <w:lang w:val="et-EE"/>
              </w:rPr>
              <w:t>Mõju lindudele avalduks ka elupaikadele avalduva mõju kaudu</w:t>
            </w:r>
            <w:r w:rsidRPr="003D754A">
              <w:rPr>
                <w:rFonts w:cs="Arial"/>
                <w:sz w:val="18"/>
                <w:szCs w:val="18"/>
                <w:lang w:val="et-EE"/>
              </w:rPr>
              <w:t>, mõjutataks eelkõige taimestikku (seda ka saasteaimete võimaliku reageerimise kaudu elupaiga komponentidega, sh pinnase koostisainetega)</w:t>
            </w:r>
            <w:r>
              <w:rPr>
                <w:rFonts w:cs="Arial"/>
                <w:sz w:val="18"/>
                <w:szCs w:val="18"/>
                <w:lang w:val="et-EE"/>
              </w:rPr>
              <w:t>,</w:t>
            </w:r>
            <w:r w:rsidRPr="003D754A">
              <w:rPr>
                <w:rFonts w:cs="Arial"/>
                <w:sz w:val="18"/>
                <w:szCs w:val="18"/>
                <w:lang w:val="et-EE"/>
              </w:rPr>
              <w:t xml:space="preserve"> </w:t>
            </w:r>
            <w:r w:rsidRPr="00213402">
              <w:rPr>
                <w:rFonts w:cs="Arial"/>
                <w:sz w:val="18"/>
                <w:szCs w:val="18"/>
                <w:lang w:val="et-EE"/>
              </w:rPr>
              <w:t>Tehtud uuringute alusel võib järeldada, et mõju sõltub taimestiku seisundist</w:t>
            </w:r>
            <w:r w:rsidRPr="003D754A">
              <w:rPr>
                <w:rFonts w:cs="Arial"/>
                <w:sz w:val="18"/>
                <w:szCs w:val="18"/>
                <w:lang w:val="et-EE"/>
              </w:rPr>
              <w:t xml:space="preserve">, mis on seotud ökosüsteemide kaitseks kehtestatud piir- või sihtväärtustega. </w:t>
            </w:r>
            <w:r>
              <w:rPr>
                <w:rFonts w:cs="Arial"/>
                <w:sz w:val="18"/>
                <w:szCs w:val="18"/>
              </w:rPr>
              <w:t>A</w:t>
            </w:r>
            <w:proofErr w:type="spellStart"/>
            <w:r w:rsidRPr="00213402">
              <w:rPr>
                <w:rFonts w:cs="Arial"/>
                <w:sz w:val="18"/>
                <w:szCs w:val="18"/>
                <w:lang w:val="et-EE"/>
              </w:rPr>
              <w:t>lla</w:t>
            </w:r>
            <w:proofErr w:type="spellEnd"/>
            <w:r w:rsidRPr="00213402">
              <w:rPr>
                <w:rFonts w:cs="Arial"/>
                <w:sz w:val="18"/>
                <w:szCs w:val="18"/>
                <w:lang w:val="et-EE"/>
              </w:rPr>
              <w:t xml:space="preserve"> kehtestatud </w:t>
            </w:r>
            <w:proofErr w:type="spellStart"/>
            <w:r>
              <w:rPr>
                <w:rFonts w:cs="Arial"/>
                <w:sz w:val="18"/>
                <w:szCs w:val="18"/>
              </w:rPr>
              <w:t>normide</w:t>
            </w:r>
            <w:proofErr w:type="spellEnd"/>
            <w:r w:rsidRPr="00213402">
              <w:rPr>
                <w:rFonts w:cs="Arial"/>
                <w:sz w:val="18"/>
                <w:szCs w:val="18"/>
                <w:lang w:val="et-EE"/>
              </w:rPr>
              <w:t xml:space="preserve"> jääv heide ei mõjuta linnustikku</w:t>
            </w:r>
            <w:r w:rsidR="00176CC8" w:rsidRPr="00176CC8">
              <w:rPr>
                <w:rFonts w:cs="Arial"/>
                <w:sz w:val="18"/>
                <w:szCs w:val="18"/>
                <w:vertAlign w:val="superscript"/>
              </w:rPr>
              <w:t>29</w:t>
            </w:r>
            <w:r w:rsidRPr="00213402">
              <w:rPr>
                <w:rFonts w:cs="Arial"/>
                <w:sz w:val="18"/>
                <w:szCs w:val="18"/>
                <w:lang w:val="et-EE"/>
              </w:rPr>
              <w:t xml:space="preserve">. </w:t>
            </w:r>
            <w:proofErr w:type="spellStart"/>
            <w:r>
              <w:rPr>
                <w:rFonts w:cs="Arial"/>
                <w:sz w:val="18"/>
                <w:szCs w:val="18"/>
              </w:rPr>
              <w:t>Seetõttu</w:t>
            </w:r>
            <w:proofErr w:type="spellEnd"/>
            <w:r>
              <w:rPr>
                <w:rFonts w:cs="Arial"/>
                <w:sz w:val="18"/>
                <w:szCs w:val="18"/>
              </w:rPr>
              <w:t xml:space="preserve"> on KMH </w:t>
            </w:r>
            <w:proofErr w:type="spellStart"/>
            <w:r>
              <w:rPr>
                <w:rFonts w:cs="Arial"/>
                <w:sz w:val="18"/>
                <w:szCs w:val="18"/>
              </w:rPr>
              <w:t>raames</w:t>
            </w:r>
            <w:proofErr w:type="spellEnd"/>
            <w:r>
              <w:rPr>
                <w:rFonts w:cs="Arial"/>
                <w:sz w:val="18"/>
                <w:szCs w:val="18"/>
              </w:rPr>
              <w:t xml:space="preserve"> </w:t>
            </w:r>
            <w:proofErr w:type="spellStart"/>
            <w:r>
              <w:rPr>
                <w:rFonts w:cs="Arial"/>
                <w:sz w:val="18"/>
                <w:szCs w:val="18"/>
              </w:rPr>
              <w:t>tehtud</w:t>
            </w:r>
            <w:proofErr w:type="spellEnd"/>
            <w:r>
              <w:rPr>
                <w:rFonts w:cs="Arial"/>
                <w:sz w:val="18"/>
                <w:szCs w:val="18"/>
              </w:rPr>
              <w:t xml:space="preserve"> </w:t>
            </w:r>
            <w:proofErr w:type="spellStart"/>
            <w:r>
              <w:rPr>
                <w:rFonts w:cs="Arial"/>
                <w:sz w:val="18"/>
                <w:szCs w:val="18"/>
              </w:rPr>
              <w:t>modelleerimised</w:t>
            </w:r>
            <w:proofErr w:type="spellEnd"/>
            <w:r>
              <w:rPr>
                <w:rFonts w:cs="Arial"/>
                <w:sz w:val="18"/>
                <w:szCs w:val="18"/>
              </w:rPr>
              <w:t xml:space="preserve"> </w:t>
            </w:r>
            <w:proofErr w:type="spellStart"/>
            <w:r>
              <w:rPr>
                <w:rFonts w:cs="Arial"/>
                <w:sz w:val="18"/>
                <w:szCs w:val="18"/>
              </w:rPr>
              <w:t>ja</w:t>
            </w:r>
            <w:proofErr w:type="spellEnd"/>
            <w:r>
              <w:rPr>
                <w:rFonts w:cs="Arial"/>
                <w:sz w:val="18"/>
                <w:szCs w:val="18"/>
              </w:rPr>
              <w:t xml:space="preserve"> </w:t>
            </w:r>
            <w:proofErr w:type="spellStart"/>
            <w:r>
              <w:rPr>
                <w:rFonts w:cs="Arial"/>
                <w:sz w:val="18"/>
                <w:szCs w:val="18"/>
              </w:rPr>
              <w:t>hinnangud</w:t>
            </w:r>
            <w:proofErr w:type="spellEnd"/>
            <w:r>
              <w:rPr>
                <w:rFonts w:cs="Arial"/>
                <w:sz w:val="18"/>
                <w:szCs w:val="18"/>
              </w:rPr>
              <w:t xml:space="preserve"> </w:t>
            </w:r>
            <w:proofErr w:type="spellStart"/>
            <w:r>
              <w:rPr>
                <w:rFonts w:cs="Arial"/>
                <w:sz w:val="18"/>
                <w:szCs w:val="18"/>
              </w:rPr>
              <w:t>asjakohased</w:t>
            </w:r>
            <w:proofErr w:type="spellEnd"/>
            <w:r>
              <w:rPr>
                <w:rFonts w:cs="Arial"/>
                <w:sz w:val="18"/>
                <w:szCs w:val="18"/>
              </w:rPr>
              <w:t xml:space="preserve"> </w:t>
            </w:r>
            <w:proofErr w:type="spellStart"/>
            <w:r>
              <w:rPr>
                <w:rFonts w:cs="Arial"/>
                <w:sz w:val="18"/>
                <w:szCs w:val="18"/>
              </w:rPr>
              <w:t>iseloomustamaks</w:t>
            </w:r>
            <w:proofErr w:type="spellEnd"/>
            <w:r>
              <w:rPr>
                <w:rFonts w:cs="Arial"/>
                <w:sz w:val="18"/>
                <w:szCs w:val="18"/>
              </w:rPr>
              <w:t xml:space="preserve"> </w:t>
            </w:r>
            <w:proofErr w:type="spellStart"/>
            <w:r>
              <w:rPr>
                <w:rFonts w:cs="Arial"/>
                <w:sz w:val="18"/>
                <w:szCs w:val="18"/>
              </w:rPr>
              <w:t>mõju</w:t>
            </w:r>
            <w:proofErr w:type="spellEnd"/>
            <w:r>
              <w:rPr>
                <w:rFonts w:cs="Arial"/>
                <w:sz w:val="18"/>
                <w:szCs w:val="18"/>
              </w:rPr>
              <w:t xml:space="preserve"> </w:t>
            </w:r>
            <w:proofErr w:type="spellStart"/>
            <w:r>
              <w:rPr>
                <w:rFonts w:cs="Arial"/>
                <w:sz w:val="18"/>
                <w:szCs w:val="18"/>
              </w:rPr>
              <w:t>linnustikule</w:t>
            </w:r>
            <w:proofErr w:type="spellEnd"/>
            <w:r>
              <w:rPr>
                <w:rFonts w:cs="Arial"/>
                <w:sz w:val="18"/>
                <w:szCs w:val="18"/>
              </w:rPr>
              <w:t xml:space="preserve">. </w:t>
            </w:r>
            <w:r w:rsidRPr="00213402">
              <w:rPr>
                <w:rFonts w:cs="Arial"/>
                <w:sz w:val="18"/>
                <w:szCs w:val="18"/>
                <w:lang w:val="et-EE"/>
              </w:rPr>
              <w:t>Endiselt kehtib järeldus, et Natura alade kaitse-eesmärke ja Natura-alade terviklikkust kavandatav tegevus ei mõjuta</w:t>
            </w:r>
            <w:r w:rsidRPr="00213402">
              <w:rPr>
                <w:rFonts w:cs="Arial"/>
                <w:sz w:val="18"/>
                <w:szCs w:val="18"/>
              </w:rPr>
              <w:t>.</w:t>
            </w:r>
          </w:p>
        </w:tc>
      </w:tr>
      <w:tr w:rsidR="00322D11" w:rsidRPr="00FD5087" w14:paraId="3D9B8083" w14:textId="77777777" w:rsidTr="6A2673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93" w:type="dxa"/>
            <w:shd w:val="clear" w:color="auto" w:fill="FFFFFF" w:themeFill="background1"/>
            <w:vAlign w:val="top"/>
          </w:tcPr>
          <w:p w14:paraId="4EBCD1C2" w14:textId="77777777" w:rsidR="00322D11" w:rsidRPr="00FD5087" w:rsidRDefault="00322D11" w:rsidP="009647D3">
            <w:pPr>
              <w:spacing w:beforeLines="60" w:before="144"/>
              <w:rPr>
                <w:rFonts w:cs="Arial"/>
                <w:b/>
                <w:sz w:val="18"/>
                <w:szCs w:val="18"/>
                <w:lang w:val="et-EE"/>
              </w:rPr>
            </w:pPr>
            <w:r w:rsidRPr="00FD5087">
              <w:rPr>
                <w:rFonts w:cs="Arial"/>
                <w:b/>
                <w:bCs w:val="0"/>
                <w:sz w:val="18"/>
                <w:szCs w:val="18"/>
                <w:lang w:val="et-EE"/>
              </w:rPr>
              <w:lastRenderedPageBreak/>
              <w:t>5.2. Põlevkivi kaevandamisega kaasnev kumulatiivne mõju Puhatu linnualale</w:t>
            </w:r>
          </w:p>
          <w:p w14:paraId="5A23E501" w14:textId="7181590F" w:rsidR="00322D11" w:rsidRPr="00FD5087" w:rsidRDefault="00322D11" w:rsidP="00322D11">
            <w:pPr>
              <w:spacing w:beforeLines="60" w:before="144"/>
              <w:rPr>
                <w:rFonts w:cs="Arial"/>
                <w:b/>
                <w:sz w:val="18"/>
                <w:szCs w:val="18"/>
                <w:lang w:val="et-EE"/>
              </w:rPr>
            </w:pPr>
            <w:r w:rsidRPr="00FD5087">
              <w:rPr>
                <w:rFonts w:cs="Arial"/>
                <w:sz w:val="18"/>
                <w:szCs w:val="18"/>
                <w:lang w:val="et-EE"/>
              </w:rPr>
              <w:t>Peamine mõju Puhatu linnu- ja loodusalale avaldub õlitehases õli tootmiseks vajaliku põlevkivi</w:t>
            </w:r>
            <w:r w:rsidRPr="00FD5087">
              <w:rPr>
                <w:rFonts w:cs="Arial"/>
                <w:bCs w:val="0"/>
                <w:sz w:val="18"/>
                <w:szCs w:val="18"/>
                <w:lang w:val="et-EE"/>
              </w:rPr>
              <w:t xml:space="preserve"> </w:t>
            </w:r>
            <w:r w:rsidRPr="00FD5087">
              <w:rPr>
                <w:rFonts w:cs="Arial"/>
                <w:sz w:val="18"/>
                <w:szCs w:val="18"/>
                <w:lang w:val="et-EE"/>
              </w:rPr>
              <w:t>kaevandamise kaudu. 2016. aasta seire</w:t>
            </w:r>
            <w:r w:rsidR="004F1667">
              <w:rPr>
                <w:rStyle w:val="FootnoteReference"/>
                <w:rFonts w:cs="Arial"/>
                <w:sz w:val="18"/>
                <w:szCs w:val="18"/>
                <w:lang w:val="et-EE"/>
              </w:rPr>
              <w:footnoteReference w:id="31"/>
            </w:r>
            <w:r w:rsidRPr="00FD5087">
              <w:rPr>
                <w:rFonts w:cs="Arial"/>
                <w:sz w:val="18"/>
                <w:szCs w:val="18"/>
                <w:lang w:val="et-EE"/>
              </w:rPr>
              <w:t xml:space="preserve"> andmetel on Puhatu linnuala seisund võrreldes</w:t>
            </w:r>
            <w:r w:rsidRPr="00FD5087">
              <w:rPr>
                <w:rFonts w:cs="Arial"/>
                <w:bCs w:val="0"/>
                <w:sz w:val="18"/>
                <w:szCs w:val="18"/>
                <w:lang w:val="et-EE"/>
              </w:rPr>
              <w:t xml:space="preserve"> </w:t>
            </w:r>
            <w:r w:rsidRPr="00FD5087">
              <w:rPr>
                <w:rFonts w:cs="Arial"/>
                <w:sz w:val="18"/>
                <w:szCs w:val="18"/>
                <w:lang w:val="et-EE"/>
              </w:rPr>
              <w:t>1996. a seire tulemustega oluliselt halvenenud: drastiliselt on vähenenud lagesoole</w:t>
            </w:r>
            <w:r w:rsidRPr="00FD5087">
              <w:rPr>
                <w:rFonts w:cs="Arial"/>
                <w:bCs w:val="0"/>
                <w:sz w:val="18"/>
                <w:szCs w:val="18"/>
                <w:lang w:val="et-EE"/>
              </w:rPr>
              <w:t xml:space="preserve"> </w:t>
            </w:r>
            <w:r w:rsidRPr="00FD5087">
              <w:rPr>
                <w:rFonts w:cs="Arial"/>
                <w:sz w:val="18"/>
                <w:szCs w:val="18"/>
                <w:lang w:val="et-EE"/>
              </w:rPr>
              <w:t xml:space="preserve">iseloomulike kahlaja- ja </w:t>
            </w:r>
            <w:proofErr w:type="spellStart"/>
            <w:r w:rsidRPr="00FD5087">
              <w:rPr>
                <w:rFonts w:cs="Arial"/>
                <w:sz w:val="18"/>
                <w:szCs w:val="18"/>
                <w:lang w:val="et-EE"/>
              </w:rPr>
              <w:t>värvuliseliikide</w:t>
            </w:r>
            <w:proofErr w:type="spellEnd"/>
            <w:r w:rsidRPr="00FD5087">
              <w:rPr>
                <w:rFonts w:cs="Arial"/>
                <w:sz w:val="18"/>
                <w:szCs w:val="18"/>
                <w:lang w:val="et-EE"/>
              </w:rPr>
              <w:t xml:space="preserve"> arvukus ning plahvatuslikult on kasvanud puistulembeliste liikide arvukus. Põhiliseks põhjuseks neis muutustes peetakse Narva</w:t>
            </w:r>
            <w:r w:rsidRPr="00FD5087">
              <w:rPr>
                <w:rFonts w:cs="Arial"/>
                <w:bCs w:val="0"/>
                <w:sz w:val="18"/>
                <w:szCs w:val="18"/>
                <w:lang w:val="et-EE"/>
              </w:rPr>
              <w:t xml:space="preserve"> </w:t>
            </w:r>
            <w:r w:rsidRPr="00FD5087">
              <w:rPr>
                <w:rFonts w:cs="Arial"/>
                <w:sz w:val="18"/>
                <w:szCs w:val="18"/>
                <w:lang w:val="et-EE"/>
              </w:rPr>
              <w:t>põlevkivikarjääri depressioonilehtrit, mille tõttu on Puhatu soostik ning selle elupaigad</w:t>
            </w:r>
            <w:r w:rsidRPr="00FD5087">
              <w:rPr>
                <w:rFonts w:cs="Arial"/>
                <w:bCs w:val="0"/>
                <w:sz w:val="18"/>
                <w:szCs w:val="18"/>
                <w:lang w:val="et-EE"/>
              </w:rPr>
              <w:t xml:space="preserve"> </w:t>
            </w:r>
            <w:r w:rsidRPr="00FD5087">
              <w:rPr>
                <w:rFonts w:cs="Arial"/>
                <w:sz w:val="18"/>
                <w:szCs w:val="18"/>
                <w:lang w:val="et-EE"/>
              </w:rPr>
              <w:t>kuivenenud. Puhatu soostik on hetkel veel ainsaks teadaolevaks pesitsuspaigaks Eestis</w:t>
            </w:r>
            <w:r w:rsidRPr="00FD5087">
              <w:rPr>
                <w:rFonts w:cs="Arial"/>
                <w:bCs w:val="0"/>
                <w:sz w:val="18"/>
                <w:szCs w:val="18"/>
                <w:lang w:val="et-EE"/>
              </w:rPr>
              <w:t xml:space="preserve"> </w:t>
            </w:r>
            <w:r w:rsidRPr="00FD5087">
              <w:rPr>
                <w:rFonts w:cs="Arial"/>
                <w:sz w:val="18"/>
                <w:szCs w:val="18"/>
                <w:lang w:val="et-EE"/>
              </w:rPr>
              <w:t xml:space="preserve">kriitilises </w:t>
            </w:r>
            <w:r w:rsidRPr="00FD5087">
              <w:rPr>
                <w:rFonts w:cs="Arial"/>
                <w:sz w:val="18"/>
                <w:szCs w:val="18"/>
                <w:lang w:val="et-EE"/>
              </w:rPr>
              <w:lastRenderedPageBreak/>
              <w:t>seisundis</w:t>
            </w:r>
            <w:r w:rsidR="004F1667">
              <w:rPr>
                <w:rStyle w:val="FootnoteReference"/>
                <w:rFonts w:cs="Arial"/>
                <w:sz w:val="18"/>
                <w:szCs w:val="18"/>
                <w:lang w:val="et-EE"/>
              </w:rPr>
              <w:footnoteReference w:id="32"/>
            </w:r>
            <w:r w:rsidRPr="00FD5087">
              <w:rPr>
                <w:rFonts w:cs="Arial"/>
                <w:sz w:val="18"/>
                <w:szCs w:val="18"/>
                <w:lang w:val="et-EE"/>
              </w:rPr>
              <w:t xml:space="preserve"> olevale I kaitsekategooria linnuliigile rabapüüle (</w:t>
            </w:r>
            <w:proofErr w:type="spellStart"/>
            <w:r w:rsidRPr="00FD5087">
              <w:rPr>
                <w:rFonts w:cs="Arial"/>
                <w:sz w:val="18"/>
                <w:szCs w:val="18"/>
                <w:lang w:val="et-EE"/>
              </w:rPr>
              <w:t>Lagopus</w:t>
            </w:r>
            <w:proofErr w:type="spellEnd"/>
            <w:r w:rsidRPr="00FD5087">
              <w:rPr>
                <w:rFonts w:cs="Arial"/>
                <w:sz w:val="18"/>
                <w:szCs w:val="18"/>
                <w:lang w:val="et-EE"/>
              </w:rPr>
              <w:t xml:space="preserve"> </w:t>
            </w:r>
            <w:proofErr w:type="spellStart"/>
            <w:r w:rsidRPr="00FD5087">
              <w:rPr>
                <w:rFonts w:cs="Arial"/>
                <w:sz w:val="18"/>
                <w:szCs w:val="18"/>
                <w:lang w:val="et-EE"/>
              </w:rPr>
              <w:t>lagopus</w:t>
            </w:r>
            <w:proofErr w:type="spellEnd"/>
            <w:r w:rsidRPr="00FD5087">
              <w:rPr>
                <w:rFonts w:cs="Arial"/>
                <w:sz w:val="18"/>
                <w:szCs w:val="18"/>
                <w:lang w:val="et-EE"/>
              </w:rPr>
              <w:t>).</w:t>
            </w:r>
            <w:r w:rsidRPr="00FD5087">
              <w:rPr>
                <w:rFonts w:cs="Arial"/>
                <w:bCs w:val="0"/>
                <w:sz w:val="18"/>
                <w:szCs w:val="18"/>
                <w:lang w:val="et-EE"/>
              </w:rPr>
              <w:t xml:space="preserve"> </w:t>
            </w:r>
            <w:r w:rsidRPr="00FD5087">
              <w:rPr>
                <w:rFonts w:cs="Arial"/>
                <w:sz w:val="18"/>
                <w:szCs w:val="18"/>
                <w:lang w:val="et-EE"/>
              </w:rPr>
              <w:t>Õlitehase toorme varumisega kaasnevat mõju Natura aladele, sh Puhatu loodusalale ei ole</w:t>
            </w:r>
            <w:r w:rsidRPr="00FD5087">
              <w:rPr>
                <w:rFonts w:cs="Arial"/>
                <w:bCs w:val="0"/>
                <w:sz w:val="18"/>
                <w:szCs w:val="18"/>
                <w:lang w:val="et-EE"/>
              </w:rPr>
              <w:t xml:space="preserve"> </w:t>
            </w:r>
            <w:r w:rsidRPr="00FD5087">
              <w:rPr>
                <w:rFonts w:cs="Arial"/>
                <w:sz w:val="18"/>
                <w:szCs w:val="18"/>
                <w:lang w:val="et-EE"/>
              </w:rPr>
              <w:t xml:space="preserve">Natura hindamise käigus üldse hinnatud. Samas on toorme </w:t>
            </w:r>
            <w:proofErr w:type="spellStart"/>
            <w:r w:rsidRPr="00FD5087">
              <w:rPr>
                <w:rFonts w:cs="Arial"/>
                <w:sz w:val="18"/>
                <w:szCs w:val="18"/>
                <w:lang w:val="et-EE"/>
              </w:rPr>
              <w:t>e.</w:t>
            </w:r>
            <w:proofErr w:type="spellEnd"/>
            <w:r w:rsidRPr="00FD5087">
              <w:rPr>
                <w:rFonts w:cs="Arial"/>
                <w:sz w:val="18"/>
                <w:szCs w:val="18"/>
                <w:lang w:val="et-EE"/>
              </w:rPr>
              <w:t xml:space="preserve"> põlevkivi kaevandamise puhul</w:t>
            </w:r>
            <w:r w:rsidRPr="00FD5087">
              <w:rPr>
                <w:rFonts w:cs="Arial"/>
                <w:bCs w:val="0"/>
                <w:sz w:val="18"/>
                <w:szCs w:val="18"/>
                <w:lang w:val="et-EE"/>
              </w:rPr>
              <w:t xml:space="preserve"> </w:t>
            </w:r>
            <w:r w:rsidRPr="00FD5087">
              <w:rPr>
                <w:rFonts w:cs="Arial"/>
                <w:sz w:val="18"/>
                <w:szCs w:val="18"/>
                <w:lang w:val="et-EE"/>
              </w:rPr>
              <w:t>tegu otseselt tehase käitamisega seotud tegevusest tuleneva kumulatiivse mõjuga, mida tuleb</w:t>
            </w:r>
            <w:r w:rsidRPr="00FD5087">
              <w:rPr>
                <w:rFonts w:cs="Arial"/>
                <w:bCs w:val="0"/>
                <w:sz w:val="18"/>
                <w:szCs w:val="18"/>
                <w:lang w:val="et-EE"/>
              </w:rPr>
              <w:t xml:space="preserve"> </w:t>
            </w:r>
            <w:proofErr w:type="spellStart"/>
            <w:r w:rsidRPr="00FD5087">
              <w:rPr>
                <w:rFonts w:cs="Arial"/>
                <w:sz w:val="18"/>
                <w:szCs w:val="18"/>
                <w:lang w:val="et-EE"/>
              </w:rPr>
              <w:t>KeHJS</w:t>
            </w:r>
            <w:proofErr w:type="spellEnd"/>
            <w:r w:rsidRPr="00FD5087">
              <w:rPr>
                <w:rFonts w:cs="Arial"/>
                <w:sz w:val="18"/>
                <w:szCs w:val="18"/>
                <w:lang w:val="et-EE"/>
              </w:rPr>
              <w:t xml:space="preserve"> ja EL loodusdirektiivi kohaselt hinnata. Loa taotluse kohaselt on toorme kuluks 2 300</w:t>
            </w:r>
            <w:r w:rsidRPr="00FD5087">
              <w:rPr>
                <w:rFonts w:cs="Arial"/>
                <w:bCs w:val="0"/>
                <w:sz w:val="18"/>
                <w:szCs w:val="18"/>
                <w:lang w:val="et-EE"/>
              </w:rPr>
              <w:t xml:space="preserve"> </w:t>
            </w:r>
            <w:r w:rsidRPr="00FD5087">
              <w:rPr>
                <w:rFonts w:cs="Arial"/>
                <w:sz w:val="18"/>
                <w:szCs w:val="18"/>
                <w:lang w:val="et-EE"/>
              </w:rPr>
              <w:t>000 tonni põlevkivi aastas.</w:t>
            </w:r>
            <w:r w:rsidR="004F1667">
              <w:rPr>
                <w:rStyle w:val="FootnoteReference"/>
                <w:rFonts w:cs="Arial"/>
                <w:sz w:val="18"/>
                <w:szCs w:val="18"/>
                <w:lang w:val="et-EE"/>
              </w:rPr>
              <w:footnoteReference w:id="33"/>
            </w:r>
            <w:r w:rsidRPr="00FD5087">
              <w:rPr>
                <w:rFonts w:cs="Arial"/>
                <w:sz w:val="18"/>
                <w:szCs w:val="18"/>
                <w:lang w:val="et-EE"/>
              </w:rPr>
              <w:t xml:space="preserve"> Hindamise käigus on esmalt tarvilik teha kaardianalüüs</w:t>
            </w:r>
            <w:r w:rsidRPr="00FD5087">
              <w:rPr>
                <w:rFonts w:cs="Arial"/>
                <w:bCs w:val="0"/>
                <w:sz w:val="18"/>
                <w:szCs w:val="18"/>
                <w:lang w:val="et-EE"/>
              </w:rPr>
              <w:t xml:space="preserve"> </w:t>
            </w:r>
            <w:r w:rsidRPr="00FD5087">
              <w:rPr>
                <w:rFonts w:cs="Arial"/>
                <w:sz w:val="18"/>
                <w:szCs w:val="18"/>
                <w:lang w:val="et-EE"/>
              </w:rPr>
              <w:t>põlevkivikaevandamise aladest, millelt toore jõuab tehasesse ning kaitseväärtustest, mis</w:t>
            </w:r>
            <w:r w:rsidRPr="00FD5087">
              <w:rPr>
                <w:rFonts w:cs="Arial"/>
                <w:bCs w:val="0"/>
                <w:sz w:val="18"/>
                <w:szCs w:val="18"/>
                <w:lang w:val="et-EE"/>
              </w:rPr>
              <w:t xml:space="preserve"> </w:t>
            </w:r>
            <w:r w:rsidRPr="00FD5087">
              <w:rPr>
                <w:rFonts w:cs="Arial"/>
                <w:sz w:val="18"/>
                <w:szCs w:val="18"/>
                <w:lang w:val="et-EE"/>
              </w:rPr>
              <w:t xml:space="preserve">põlevkivi kaevandamisest mõjutatud on ning jätkata sisulise hindamisega. </w:t>
            </w:r>
            <w:r w:rsidRPr="00FD5087">
              <w:rPr>
                <w:rFonts w:cs="Arial"/>
                <w:b/>
                <w:bCs w:val="0"/>
                <w:sz w:val="18"/>
                <w:szCs w:val="18"/>
                <w:lang w:val="et-EE"/>
              </w:rPr>
              <w:t>Kokkuvõtvalt teeme ettepaneku Natura hindamise raames hinnata kumulatiivsete mõjudena õlitehases kasutatava põlevkivi varumise mõju Natura aladele ja neil kaitstavatele loodusväärtustele.</w:t>
            </w:r>
          </w:p>
          <w:p w14:paraId="7581F0AD" w14:textId="13EFFF41" w:rsidR="000E5D6C" w:rsidRPr="00FD5087" w:rsidRDefault="000E5D6C" w:rsidP="000E5D6C">
            <w:pPr>
              <w:spacing w:beforeLines="60" w:before="144"/>
              <w:rPr>
                <w:rFonts w:cs="Arial"/>
                <w:sz w:val="18"/>
                <w:szCs w:val="18"/>
                <w:lang w:val="et-EE"/>
              </w:rPr>
            </w:pPr>
            <w:r w:rsidRPr="00FD5087">
              <w:rPr>
                <w:rFonts w:cs="Arial"/>
                <w:sz w:val="18"/>
                <w:szCs w:val="18"/>
                <w:lang w:val="et-EE"/>
              </w:rPr>
              <w:t xml:space="preserve">Nõue hinnata Natura aladele avalduvat mõju koosmõjus muude projektidega tuleneb loodusdirektiivi art 6 lõikest 3, mis sõnaselgelt näeb ette, et “iga kava või projekti, </w:t>
            </w:r>
            <w:r w:rsidRPr="004B20A1">
              <w:rPr>
                <w:rFonts w:cs="Arial"/>
                <w:i/>
                <w:iCs/>
                <w:sz w:val="18"/>
                <w:szCs w:val="18"/>
                <w:lang w:val="et-EE"/>
              </w:rPr>
              <w:t>(---) mis tõenäoliselt avaldab alale olulist mõju eraldi või koos muude kavade või projektidega, tuleb asjakohaselt hinnata seoses tagajärgedega, mida see ala kaitse-eesmärkidele avaldab</w:t>
            </w:r>
            <w:r w:rsidRPr="00FD5087">
              <w:rPr>
                <w:rFonts w:cs="Arial"/>
                <w:sz w:val="18"/>
                <w:szCs w:val="18"/>
                <w:lang w:val="et-EE"/>
              </w:rPr>
              <w:t>.”</w:t>
            </w:r>
            <w:r w:rsidR="004B20A1">
              <w:rPr>
                <w:rFonts w:cs="Arial"/>
                <w:sz w:val="18"/>
                <w:szCs w:val="18"/>
                <w:lang w:val="et-EE"/>
              </w:rPr>
              <w:t xml:space="preserve"> </w:t>
            </w:r>
            <w:r w:rsidRPr="00FD5087">
              <w:rPr>
                <w:rFonts w:cs="Arial"/>
                <w:sz w:val="18"/>
                <w:szCs w:val="18"/>
                <w:lang w:val="et-EE"/>
              </w:rPr>
              <w:t xml:space="preserve">Loodusdirektiivi sätted on üle võetud </w:t>
            </w:r>
            <w:proofErr w:type="spellStart"/>
            <w:r w:rsidRPr="00FD5087">
              <w:rPr>
                <w:rFonts w:cs="Arial"/>
                <w:sz w:val="18"/>
                <w:szCs w:val="18"/>
                <w:lang w:val="et-EE"/>
              </w:rPr>
              <w:t>KeHJS-ga</w:t>
            </w:r>
            <w:proofErr w:type="spellEnd"/>
            <w:r w:rsidRPr="00FD5087">
              <w:rPr>
                <w:rFonts w:cs="Arial"/>
                <w:sz w:val="18"/>
                <w:szCs w:val="18"/>
                <w:lang w:val="et-EE"/>
              </w:rPr>
              <w:t>, mille § 3 lg 1 p 2 käsitleb Natura 2000 võrgustiku alale avalduva mõjuna samuti sõnaselgelt tegevuse mõju “eraldi või koos muude tegevustega”.</w:t>
            </w:r>
          </w:p>
          <w:p w14:paraId="0E898A53" w14:textId="77777777" w:rsidR="004B20A1" w:rsidRDefault="000E5D6C" w:rsidP="000E5D6C">
            <w:pPr>
              <w:spacing w:beforeLines="60" w:before="144"/>
              <w:rPr>
                <w:rFonts w:cs="Arial"/>
                <w:sz w:val="18"/>
                <w:szCs w:val="18"/>
                <w:lang w:val="et-EE"/>
              </w:rPr>
            </w:pPr>
            <w:r w:rsidRPr="00FD5087">
              <w:rPr>
                <w:rFonts w:cs="Arial"/>
                <w:sz w:val="18"/>
                <w:szCs w:val="18"/>
                <w:lang w:val="et-EE"/>
              </w:rPr>
              <w:t>Koosmõju hindamisel ei saa piirduda sama tüüpi tegevustega, vaid arvestada tuleb kõiki</w:t>
            </w:r>
            <w:r w:rsidRPr="00FD5087">
              <w:rPr>
                <w:rFonts w:cs="Arial"/>
                <w:bCs w:val="0"/>
                <w:sz w:val="18"/>
                <w:szCs w:val="18"/>
                <w:lang w:val="et-EE"/>
              </w:rPr>
              <w:t xml:space="preserve"> </w:t>
            </w:r>
            <w:r w:rsidRPr="00FD5087">
              <w:rPr>
                <w:rFonts w:cs="Arial"/>
                <w:sz w:val="18"/>
                <w:szCs w:val="18"/>
                <w:lang w:val="et-EE"/>
              </w:rPr>
              <w:t>projektide ja kavade kumuleeruvaid mõjusid. Arvestada tuleb nii ellu viidud, ellu viidavate kui</w:t>
            </w:r>
            <w:r w:rsidRPr="00FD5087">
              <w:rPr>
                <w:rFonts w:cs="Arial"/>
                <w:bCs w:val="0"/>
                <w:sz w:val="18"/>
                <w:szCs w:val="18"/>
                <w:lang w:val="et-EE"/>
              </w:rPr>
              <w:t xml:space="preserve"> </w:t>
            </w:r>
            <w:r w:rsidRPr="00FD5087">
              <w:rPr>
                <w:rFonts w:cs="Arial"/>
                <w:sz w:val="18"/>
                <w:szCs w:val="18"/>
                <w:lang w:val="et-EE"/>
              </w:rPr>
              <w:t>ka heaks kiidetud, kuid ellu viimata tegevuste mõjudega. Lisaks tuleb arvesse võtta</w:t>
            </w:r>
            <w:r w:rsidRPr="00FD5087">
              <w:rPr>
                <w:rFonts w:cs="Arial"/>
                <w:bCs w:val="0"/>
                <w:sz w:val="18"/>
                <w:szCs w:val="18"/>
                <w:lang w:val="et-EE"/>
              </w:rPr>
              <w:t xml:space="preserve"> </w:t>
            </w:r>
            <w:r w:rsidRPr="00FD5087">
              <w:rPr>
                <w:rFonts w:cs="Arial"/>
                <w:sz w:val="18"/>
                <w:szCs w:val="18"/>
                <w:lang w:val="et-EE"/>
              </w:rPr>
              <w:t xml:space="preserve">pooleliolevates ametlikes menetlustes olevate </w:t>
            </w:r>
            <w:r w:rsidRPr="00FD5087">
              <w:rPr>
                <w:rFonts w:cs="Arial"/>
                <w:sz w:val="18"/>
                <w:szCs w:val="18"/>
                <w:lang w:val="et-EE"/>
              </w:rPr>
              <w:lastRenderedPageBreak/>
              <w:t>projektide ja kavade kuhjuvat mõju (artikli 6</w:t>
            </w:r>
            <w:r w:rsidRPr="00FD5087">
              <w:rPr>
                <w:rFonts w:cs="Arial"/>
                <w:bCs w:val="0"/>
                <w:sz w:val="18"/>
                <w:szCs w:val="18"/>
                <w:lang w:val="et-EE"/>
              </w:rPr>
              <w:t xml:space="preserve"> </w:t>
            </w:r>
            <w:r w:rsidRPr="00FD5087">
              <w:rPr>
                <w:rFonts w:cs="Arial"/>
                <w:sz w:val="18"/>
                <w:szCs w:val="18"/>
                <w:lang w:val="et-EE"/>
              </w:rPr>
              <w:t>juhend, lk 29 ja 30; vt ka metoodiline juhend, lk 14, 15, 31−34).</w:t>
            </w:r>
            <w:r w:rsidR="004B20A1">
              <w:rPr>
                <w:rStyle w:val="FootnoteReference"/>
                <w:rFonts w:cs="Arial"/>
                <w:sz w:val="18"/>
                <w:szCs w:val="18"/>
                <w:lang w:val="et-EE"/>
              </w:rPr>
              <w:footnoteReference w:id="34"/>
            </w:r>
            <w:r w:rsidRPr="00FD5087">
              <w:rPr>
                <w:rFonts w:cs="Arial"/>
                <w:bCs w:val="0"/>
                <w:sz w:val="18"/>
                <w:szCs w:val="18"/>
                <w:lang w:val="et-EE"/>
              </w:rPr>
              <w:t xml:space="preserve"> </w:t>
            </w:r>
          </w:p>
          <w:p w14:paraId="0A4CE162" w14:textId="6980D573" w:rsidR="000E5D6C" w:rsidRPr="00FD5087" w:rsidRDefault="000E5D6C" w:rsidP="000E5D6C">
            <w:pPr>
              <w:spacing w:beforeLines="60" w:before="144"/>
              <w:rPr>
                <w:rFonts w:cs="Arial"/>
                <w:sz w:val="18"/>
                <w:szCs w:val="18"/>
                <w:lang w:val="et-EE"/>
              </w:rPr>
            </w:pPr>
            <w:r w:rsidRPr="00FD5087">
              <w:rPr>
                <w:rFonts w:cs="Arial"/>
                <w:sz w:val="18"/>
                <w:szCs w:val="18"/>
                <w:lang w:val="et-EE"/>
              </w:rPr>
              <w:t>Juhul, kui õlitehase KMH käigus ei arvestata koosmõju teiste projektidega (sh õlitehase</w:t>
            </w:r>
            <w:r w:rsidRPr="00FD5087">
              <w:rPr>
                <w:rFonts w:cs="Arial"/>
                <w:bCs w:val="0"/>
                <w:sz w:val="18"/>
                <w:szCs w:val="18"/>
                <w:lang w:val="et-EE"/>
              </w:rPr>
              <w:t xml:space="preserve"> </w:t>
            </w:r>
            <w:r w:rsidRPr="00FD5087">
              <w:rPr>
                <w:rFonts w:cs="Arial"/>
                <w:sz w:val="18"/>
                <w:szCs w:val="18"/>
                <w:lang w:val="et-EE"/>
              </w:rPr>
              <w:t>toorme saamiseks vajaliku põlevkivi kaevandamisega), oleks tegemist otseselt loodusdirektiivi</w:t>
            </w:r>
            <w:r w:rsidRPr="00FD5087">
              <w:rPr>
                <w:rFonts w:cs="Arial"/>
                <w:bCs w:val="0"/>
                <w:sz w:val="18"/>
                <w:szCs w:val="18"/>
                <w:lang w:val="et-EE"/>
              </w:rPr>
              <w:t xml:space="preserve"> </w:t>
            </w:r>
            <w:r w:rsidRPr="00FD5087">
              <w:rPr>
                <w:rFonts w:cs="Arial"/>
                <w:sz w:val="18"/>
                <w:szCs w:val="18"/>
                <w:lang w:val="et-EE"/>
              </w:rPr>
              <w:t xml:space="preserve">ja </w:t>
            </w:r>
            <w:proofErr w:type="spellStart"/>
            <w:r w:rsidRPr="00FD5087">
              <w:rPr>
                <w:rFonts w:cs="Arial"/>
                <w:sz w:val="18"/>
                <w:szCs w:val="18"/>
                <w:lang w:val="et-EE"/>
              </w:rPr>
              <w:t>KeHJS</w:t>
            </w:r>
            <w:proofErr w:type="spellEnd"/>
            <w:r w:rsidRPr="00FD5087">
              <w:rPr>
                <w:rFonts w:cs="Arial"/>
                <w:sz w:val="18"/>
                <w:szCs w:val="18"/>
                <w:lang w:val="et-EE"/>
              </w:rPr>
              <w:t xml:space="preserve"> nõuete rikkumisega.</w:t>
            </w:r>
          </w:p>
        </w:tc>
        <w:tc>
          <w:tcPr>
            <w:tcW w:w="7377" w:type="dxa"/>
            <w:shd w:val="clear" w:color="auto" w:fill="FFFFFF" w:themeFill="background1"/>
            <w:vAlign w:val="top"/>
          </w:tcPr>
          <w:p w14:paraId="45CADFF5" w14:textId="40A22969" w:rsidR="00213402" w:rsidRDefault="00213402" w:rsidP="000E5C26">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lastRenderedPageBreak/>
              <w:t>Siinkohal tuleb nentida, et viidatud mõjud tulenevad põlevkivi kaevandamise kaudu, mis eeldatavalt põhjustab piirkonnas veerežiimi muutust. P</w:t>
            </w:r>
            <w:r w:rsidRPr="00213402">
              <w:rPr>
                <w:rFonts w:cs="Arial"/>
                <w:sz w:val="18"/>
                <w:szCs w:val="18"/>
                <w:lang w:val="et-EE"/>
              </w:rPr>
              <w:t xml:space="preserve">õlevkivi kaevandamine toimub vastavate lubade alusel ja kaevandamise mõju (s.h Natura hindamine) viiakse läbi vastavate lubade KMH-de menetluse käigus. </w:t>
            </w:r>
            <w:r>
              <w:rPr>
                <w:rFonts w:cs="Arial"/>
                <w:sz w:val="18"/>
                <w:szCs w:val="18"/>
                <w:lang w:val="et-EE"/>
              </w:rPr>
              <w:t>Enefit280-2 kompleksloaga ei kehtestata konkreetset kohta, kust põlevkivi tuleb võtta, seetõttu ei ole kaevandamine seotud kavandatud tegevusega. K</w:t>
            </w:r>
            <w:r w:rsidRPr="00213402">
              <w:rPr>
                <w:rFonts w:cs="Arial"/>
                <w:sz w:val="18"/>
                <w:szCs w:val="18"/>
                <w:lang w:val="et-EE"/>
              </w:rPr>
              <w:t xml:space="preserve">umulatiivset mõju </w:t>
            </w:r>
            <w:r>
              <w:rPr>
                <w:rFonts w:cs="Arial"/>
                <w:sz w:val="18"/>
                <w:szCs w:val="18"/>
                <w:lang w:val="et-EE"/>
              </w:rPr>
              <w:t xml:space="preserve">tuleb </w:t>
            </w:r>
            <w:r w:rsidRPr="00213402">
              <w:rPr>
                <w:rFonts w:cs="Arial"/>
                <w:sz w:val="18"/>
                <w:szCs w:val="18"/>
                <w:lang w:val="et-EE"/>
              </w:rPr>
              <w:t>hinnata erinevate kaevanduslubade menetluse raames. Käesol</w:t>
            </w:r>
            <w:r>
              <w:rPr>
                <w:rFonts w:cs="Arial"/>
                <w:sz w:val="18"/>
                <w:szCs w:val="18"/>
                <w:lang w:val="et-EE"/>
              </w:rPr>
              <w:t>e</w:t>
            </w:r>
            <w:r w:rsidRPr="00213402">
              <w:rPr>
                <w:rFonts w:cs="Arial"/>
                <w:sz w:val="18"/>
                <w:szCs w:val="18"/>
                <w:lang w:val="et-EE"/>
              </w:rPr>
              <w:t xml:space="preserve">vas </w:t>
            </w:r>
            <w:proofErr w:type="spellStart"/>
            <w:r>
              <w:rPr>
                <w:rFonts w:cs="Arial"/>
                <w:sz w:val="18"/>
                <w:szCs w:val="18"/>
                <w:lang w:val="et-EE"/>
              </w:rPr>
              <w:t>KMHs</w:t>
            </w:r>
            <w:proofErr w:type="spellEnd"/>
            <w:r>
              <w:rPr>
                <w:rFonts w:cs="Arial"/>
                <w:sz w:val="18"/>
                <w:szCs w:val="18"/>
                <w:lang w:val="et-EE"/>
              </w:rPr>
              <w:t xml:space="preserve"> on </w:t>
            </w:r>
            <w:r w:rsidRPr="00213402">
              <w:rPr>
                <w:rFonts w:cs="Arial"/>
                <w:sz w:val="18"/>
                <w:szCs w:val="18"/>
                <w:lang w:val="et-EE"/>
              </w:rPr>
              <w:t>Natura hindamise</w:t>
            </w:r>
            <w:r>
              <w:rPr>
                <w:rFonts w:cs="Arial"/>
                <w:sz w:val="18"/>
                <w:szCs w:val="18"/>
                <w:lang w:val="et-EE"/>
              </w:rPr>
              <w:t xml:space="preserve">l </w:t>
            </w:r>
            <w:r w:rsidRPr="00213402">
              <w:rPr>
                <w:rFonts w:cs="Arial"/>
                <w:sz w:val="18"/>
                <w:szCs w:val="18"/>
                <w:lang w:val="et-EE"/>
              </w:rPr>
              <w:t>asjakohane käsitleda käesoleva KMH aluseks oleva keskkonnakompleksloaga kavandatavaid tegevusi.</w:t>
            </w:r>
            <w:r>
              <w:rPr>
                <w:rFonts w:cs="Arial"/>
                <w:sz w:val="18"/>
                <w:szCs w:val="18"/>
                <w:lang w:val="et-EE"/>
              </w:rPr>
              <w:t xml:space="preserve"> </w:t>
            </w:r>
          </w:p>
          <w:p w14:paraId="31085F80" w14:textId="281B6ED9" w:rsidR="00213402" w:rsidRDefault="00213402" w:rsidP="00213402">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 xml:space="preserve">Võimalikku kavandatava tegevuse mõju veerežiimile hinnati detailselt Õlitööstuse maa-ala detailplaneeringu KSH raames, sh määrati ehitustegevuse kaugus, millest alates võib ebasoodne mõju avalduma hakata. KMH aruande </w:t>
            </w:r>
            <w:proofErr w:type="spellStart"/>
            <w:r>
              <w:rPr>
                <w:rFonts w:cs="Arial"/>
                <w:sz w:val="18"/>
                <w:szCs w:val="18"/>
                <w:lang w:val="et-EE"/>
              </w:rPr>
              <w:lastRenderedPageBreak/>
              <w:t>ptk</w:t>
            </w:r>
            <w:proofErr w:type="spellEnd"/>
            <w:r>
              <w:rPr>
                <w:rFonts w:cs="Arial"/>
                <w:sz w:val="18"/>
                <w:szCs w:val="18"/>
                <w:lang w:val="et-EE"/>
              </w:rPr>
              <w:t xml:space="preserve"> 4.11 on see analüüs esitatud ja nenditud, et lähtuvalt piirkonna keskkonnatingimustest see piirdub lähialaga. Ettevaatuspõhimõttest lähtuvalt sõnastati tingimus, et täpsemalt tuleb hinnata kuni 200 m kaugusel asuvate objektide mõju, sh tuleb nende rajamise detailid kooskõlastada Keskkonnaametiga. </w:t>
            </w:r>
          </w:p>
          <w:p w14:paraId="7D5F2552" w14:textId="7C3BD968" w:rsidR="00213402" w:rsidRDefault="00213402" w:rsidP="00213402">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Pr>
                <w:rFonts w:cs="Arial"/>
                <w:sz w:val="18"/>
                <w:szCs w:val="18"/>
                <w:lang w:val="et-EE"/>
              </w:rPr>
              <w:t>Siit järeldub, et arvestades Enefit280-2 paiknemist Õlitööstuse maa-alal, ei avalda Enefit280</w:t>
            </w:r>
            <w:r w:rsidR="003438F6">
              <w:rPr>
                <w:rFonts w:cs="Arial"/>
                <w:sz w:val="18"/>
                <w:szCs w:val="18"/>
                <w:lang w:val="et-EE"/>
              </w:rPr>
              <w:t>-</w:t>
            </w:r>
            <w:r>
              <w:rPr>
                <w:rFonts w:cs="Arial"/>
                <w:sz w:val="18"/>
                <w:szCs w:val="18"/>
                <w:lang w:val="et-EE"/>
              </w:rPr>
              <w:t xml:space="preserve">2 rajamine kumuleeruvat ega kuhjuvat mõju.   </w:t>
            </w:r>
          </w:p>
          <w:p w14:paraId="426F2998" w14:textId="1F106A50" w:rsidR="00BA6DF6" w:rsidRPr="00FD5087" w:rsidRDefault="00213402" w:rsidP="00213402">
            <w:pPr>
              <w:spacing w:beforeLines="60" w:before="144"/>
              <w:cnfStyle w:val="000000100000" w:firstRow="0" w:lastRow="0" w:firstColumn="0" w:lastColumn="0" w:oddVBand="0" w:evenVBand="0" w:oddHBand="1" w:evenHBand="0" w:firstRowFirstColumn="0" w:firstRowLastColumn="0" w:lastRowFirstColumn="0" w:lastRowLastColumn="0"/>
              <w:rPr>
                <w:rFonts w:cs="Arial"/>
                <w:sz w:val="18"/>
                <w:szCs w:val="18"/>
                <w:lang w:val="et-EE"/>
              </w:rPr>
            </w:pPr>
            <w:r w:rsidRPr="003D754A">
              <w:rPr>
                <w:rFonts w:cs="Arial"/>
                <w:sz w:val="18"/>
                <w:szCs w:val="18"/>
                <w:lang w:val="et-EE"/>
              </w:rPr>
              <w:t xml:space="preserve">Selgitate, et nõue hinnata Natura aladele avalduvat mõju koosmõjus muude projektidega tuleneb loodusdirektiivi </w:t>
            </w:r>
            <w:r w:rsidRPr="00213402">
              <w:rPr>
                <w:rFonts w:cs="Arial"/>
                <w:sz w:val="18"/>
                <w:szCs w:val="18"/>
                <w:lang w:val="et-EE"/>
              </w:rPr>
              <w:t xml:space="preserve">art 6 lõikest 3, mis sõnaselgelt näeb ette, et “iga kava või projekti, (---) mis tõenäoliselt avaldab alale olulist mõju eraldi või koos muude kavade või projektidega, tuleb asjakohaselt hinnata seoses tagajärgedega, mida see ala kaitse-eesmärkidele avaldab.” Loodusdirektiivi sätted on üle võetud </w:t>
            </w:r>
            <w:proofErr w:type="spellStart"/>
            <w:r w:rsidRPr="00213402">
              <w:rPr>
                <w:rFonts w:cs="Arial"/>
                <w:sz w:val="18"/>
                <w:szCs w:val="18"/>
                <w:lang w:val="et-EE"/>
              </w:rPr>
              <w:t>KeHJS-ga</w:t>
            </w:r>
            <w:proofErr w:type="spellEnd"/>
            <w:r w:rsidRPr="00213402">
              <w:rPr>
                <w:rFonts w:cs="Arial"/>
                <w:sz w:val="18"/>
                <w:szCs w:val="18"/>
                <w:lang w:val="et-EE"/>
              </w:rPr>
              <w:t>, mille § 3 lg 1 p 2 käsitleb Natura 2000 võrgustiku alale avalduva mõjuna samuti sõnaselgelt tegevuse mõju “eraldi või koos muude tegevustega”. KMH-s on asjakohaseid koosmõjusid hinnatud ja nende osas on järeldused kantud ka Natura hindamisse</w:t>
            </w:r>
            <w:r w:rsidR="007968F3">
              <w:rPr>
                <w:rFonts w:cs="Arial"/>
                <w:sz w:val="18"/>
                <w:szCs w:val="18"/>
                <w:lang w:val="et-EE"/>
              </w:rPr>
              <w:t xml:space="preserve"> ja seetõttu ei ole tegemist ei loodusdirektiivi ega </w:t>
            </w:r>
            <w:proofErr w:type="spellStart"/>
            <w:r w:rsidR="007968F3">
              <w:rPr>
                <w:rFonts w:cs="Arial"/>
                <w:sz w:val="18"/>
                <w:szCs w:val="18"/>
                <w:lang w:val="et-EE"/>
              </w:rPr>
              <w:t>KeHJS</w:t>
            </w:r>
            <w:proofErr w:type="spellEnd"/>
            <w:r w:rsidR="007968F3">
              <w:rPr>
                <w:rFonts w:cs="Arial"/>
                <w:sz w:val="18"/>
                <w:szCs w:val="18"/>
                <w:lang w:val="et-EE"/>
              </w:rPr>
              <w:t xml:space="preserve"> nõuete rikkumisega.</w:t>
            </w:r>
            <w:r>
              <w:rPr>
                <w:rFonts w:cs="Arial"/>
                <w:sz w:val="18"/>
                <w:szCs w:val="18"/>
                <w:lang w:val="et-EE"/>
              </w:rPr>
              <w:t xml:space="preserve">   </w:t>
            </w:r>
          </w:p>
        </w:tc>
      </w:tr>
    </w:tbl>
    <w:p w14:paraId="5CE58CAD" w14:textId="77777777" w:rsidR="00E16F5F" w:rsidRPr="00FD5087" w:rsidRDefault="00E16F5F"/>
    <w:sectPr w:rsidR="00E16F5F" w:rsidRPr="00FD5087" w:rsidSect="002E31A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4FC8" w14:textId="77777777" w:rsidR="00B80B2C" w:rsidRDefault="00B80B2C" w:rsidP="00E16F5F">
      <w:pPr>
        <w:spacing w:after="0" w:line="240" w:lineRule="auto"/>
      </w:pPr>
      <w:r>
        <w:separator/>
      </w:r>
    </w:p>
  </w:endnote>
  <w:endnote w:type="continuationSeparator" w:id="0">
    <w:p w14:paraId="6366ED98" w14:textId="77777777" w:rsidR="00B80B2C" w:rsidRDefault="00B80B2C" w:rsidP="00E16F5F">
      <w:pPr>
        <w:spacing w:after="0" w:line="240" w:lineRule="auto"/>
      </w:pPr>
      <w:r>
        <w:continuationSeparator/>
      </w:r>
    </w:p>
  </w:endnote>
  <w:endnote w:type="continuationNotice" w:id="1">
    <w:p w14:paraId="21C5C88A" w14:textId="77777777" w:rsidR="00B80B2C" w:rsidRDefault="00B80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7EBD" w14:textId="77777777" w:rsidR="00B80B2C" w:rsidRDefault="00B80B2C" w:rsidP="00E16F5F">
      <w:pPr>
        <w:spacing w:after="0" w:line="240" w:lineRule="auto"/>
      </w:pPr>
      <w:r>
        <w:separator/>
      </w:r>
    </w:p>
  </w:footnote>
  <w:footnote w:type="continuationSeparator" w:id="0">
    <w:p w14:paraId="1C814EB3" w14:textId="77777777" w:rsidR="00B80B2C" w:rsidRDefault="00B80B2C" w:rsidP="00E16F5F">
      <w:pPr>
        <w:spacing w:after="0" w:line="240" w:lineRule="auto"/>
      </w:pPr>
      <w:r>
        <w:continuationSeparator/>
      </w:r>
    </w:p>
  </w:footnote>
  <w:footnote w:type="continuationNotice" w:id="1">
    <w:p w14:paraId="64C90100" w14:textId="77777777" w:rsidR="00B80B2C" w:rsidRDefault="00B80B2C">
      <w:pPr>
        <w:spacing w:after="0" w:line="240" w:lineRule="auto"/>
      </w:pPr>
    </w:p>
  </w:footnote>
  <w:footnote w:id="2">
    <w:p w14:paraId="4EFF9758" w14:textId="287A8B3B" w:rsidR="008E62EB" w:rsidRPr="008E62EB" w:rsidRDefault="008E62EB" w:rsidP="008E62EB">
      <w:pPr>
        <w:pStyle w:val="FootnoteText"/>
        <w:rPr>
          <w:sz w:val="16"/>
          <w:szCs w:val="16"/>
        </w:rPr>
      </w:pPr>
      <w:r>
        <w:rPr>
          <w:rStyle w:val="FootnoteReference"/>
        </w:rPr>
        <w:footnoteRef/>
      </w:r>
      <w:r>
        <w:t xml:space="preserve"> </w:t>
      </w:r>
      <w:r w:rsidRPr="008E62EB">
        <w:rPr>
          <w:sz w:val="16"/>
          <w:szCs w:val="16"/>
        </w:rPr>
        <w:t>Meeliste, S. et al. (2019) Eesti kliimaambitsiooni tõstmise võimaluste analüüs. – Stockholmi Keskkonnainstituudi Tallinna Keskus, lk 6 ja 43.</w:t>
      </w:r>
    </w:p>
  </w:footnote>
  <w:footnote w:id="3">
    <w:p w14:paraId="755EF2A6" w14:textId="166D44CA" w:rsidR="008E62EB" w:rsidRPr="008E62EB" w:rsidRDefault="008E62EB">
      <w:pPr>
        <w:pStyle w:val="FootnoteText"/>
        <w:rPr>
          <w:sz w:val="16"/>
          <w:szCs w:val="16"/>
        </w:rPr>
      </w:pPr>
      <w:r w:rsidRPr="008E62EB">
        <w:rPr>
          <w:rStyle w:val="FootnoteReference"/>
          <w:sz w:val="16"/>
          <w:szCs w:val="16"/>
        </w:rPr>
        <w:footnoteRef/>
      </w:r>
      <w:r w:rsidRPr="008E62EB">
        <w:rPr>
          <w:sz w:val="16"/>
          <w:szCs w:val="16"/>
        </w:rPr>
        <w:t xml:space="preserve"> </w:t>
      </w:r>
      <w:hyperlink r:id="rId1" w:history="1">
        <w:r w:rsidRPr="008E62EB">
          <w:rPr>
            <w:rStyle w:val="Hyperlink"/>
            <w:sz w:val="16"/>
            <w:szCs w:val="16"/>
          </w:rPr>
          <w:t>https://www.riigiteataja.ee/akt/310022023001</w:t>
        </w:r>
      </w:hyperlink>
      <w:r w:rsidRPr="008E62EB">
        <w:rPr>
          <w:sz w:val="16"/>
          <w:szCs w:val="16"/>
        </w:rPr>
        <w:t xml:space="preserve"> </w:t>
      </w:r>
    </w:p>
  </w:footnote>
  <w:footnote w:id="4">
    <w:p w14:paraId="04157D46" w14:textId="3440B6B7" w:rsidR="008E62EB" w:rsidRPr="008E62EB" w:rsidRDefault="008E62EB" w:rsidP="008E62EB">
      <w:pPr>
        <w:pStyle w:val="FootnoteText"/>
        <w:rPr>
          <w:sz w:val="16"/>
          <w:szCs w:val="16"/>
        </w:rPr>
      </w:pPr>
      <w:r w:rsidRPr="008E62EB">
        <w:rPr>
          <w:rStyle w:val="FootnoteReference"/>
          <w:sz w:val="16"/>
          <w:szCs w:val="16"/>
        </w:rPr>
        <w:footnoteRef/>
      </w:r>
      <w:r w:rsidRPr="008E62EB">
        <w:rPr>
          <w:sz w:val="16"/>
          <w:szCs w:val="16"/>
        </w:rPr>
        <w:t xml:space="preserve"> “Põlevkivi kasutamisel liigutakse järjest suurema energeetilise väärindamise ning kõrgema lisandväärtusega</w:t>
      </w:r>
      <w:r>
        <w:rPr>
          <w:sz w:val="16"/>
          <w:szCs w:val="16"/>
        </w:rPr>
        <w:t xml:space="preserve"> </w:t>
      </w:r>
      <w:r w:rsidRPr="008E62EB">
        <w:rPr>
          <w:sz w:val="16"/>
          <w:szCs w:val="16"/>
        </w:rPr>
        <w:t>toodete tootmise suunas, et minimeerida põlevkivi käitlemisprotsessis tekkivat kasvuhoonegaaside heidet</w:t>
      </w:r>
      <w:r>
        <w:rPr>
          <w:sz w:val="16"/>
          <w:szCs w:val="16"/>
        </w:rPr>
        <w:t xml:space="preserve"> </w:t>
      </w:r>
      <w:r w:rsidRPr="008E62EB">
        <w:rPr>
          <w:sz w:val="16"/>
          <w:szCs w:val="16"/>
        </w:rPr>
        <w:t>viisil, millega ei kaasne muu negatiivse keskkonnamõju suurenemine. Põlevkiviõli tootmise kõrvalsaadusena</w:t>
      </w:r>
      <w:r>
        <w:rPr>
          <w:sz w:val="16"/>
          <w:szCs w:val="16"/>
        </w:rPr>
        <w:t xml:space="preserve"> </w:t>
      </w:r>
      <w:r w:rsidRPr="008E62EB">
        <w:rPr>
          <w:sz w:val="16"/>
          <w:szCs w:val="16"/>
        </w:rPr>
        <w:t>tekkivat uttegaasi kasutatakse elektri- ja soojusenergia tootmiseks, kusjuures pikas perspektiivis on eesmärk</w:t>
      </w:r>
      <w:r>
        <w:rPr>
          <w:sz w:val="16"/>
          <w:szCs w:val="16"/>
        </w:rPr>
        <w:t xml:space="preserve"> </w:t>
      </w:r>
      <w:r w:rsidRPr="008E62EB">
        <w:rPr>
          <w:sz w:val="16"/>
          <w:szCs w:val="16"/>
        </w:rPr>
        <w:t>toota uttegaasist võimalikult suures mahus vedelkütuse, maagaasi või muude toodete asendajaid”</w:t>
      </w:r>
    </w:p>
  </w:footnote>
  <w:footnote w:id="5">
    <w:p w14:paraId="26D77739" w14:textId="158B6AD3" w:rsidR="008E62EB" w:rsidRPr="008E62EB" w:rsidRDefault="008E62EB" w:rsidP="008E62EB">
      <w:pPr>
        <w:pStyle w:val="FootnoteText"/>
        <w:rPr>
          <w:sz w:val="16"/>
          <w:szCs w:val="16"/>
        </w:rPr>
      </w:pPr>
      <w:r>
        <w:rPr>
          <w:rStyle w:val="FootnoteReference"/>
        </w:rPr>
        <w:footnoteRef/>
      </w:r>
      <w:r>
        <w:t xml:space="preserve"> </w:t>
      </w:r>
      <w:r w:rsidRPr="008E62EB">
        <w:rPr>
          <w:sz w:val="16"/>
          <w:szCs w:val="16"/>
        </w:rPr>
        <w:t>Meeliste, S. et al. (2019) Eesti kliimaambitsiooni tõstmise võimaluste analüüs. – Stockholmi Keskkonnainstituudi Tallinna Keskus, lk 63.</w:t>
      </w:r>
    </w:p>
  </w:footnote>
  <w:footnote w:id="6">
    <w:p w14:paraId="2AF2CD24" w14:textId="37D2F292" w:rsidR="000456F3" w:rsidRDefault="000456F3">
      <w:pPr>
        <w:pStyle w:val="FootnoteText"/>
      </w:pPr>
      <w:r>
        <w:rPr>
          <w:rStyle w:val="FootnoteReference"/>
        </w:rPr>
        <w:footnoteRef/>
      </w:r>
      <w:r>
        <w:t xml:space="preserve"> </w:t>
      </w:r>
      <w:r w:rsidRPr="000456F3">
        <w:t>IPCC. (2018) Global Warming of 1.5 ºC. Special Report. https://www.ipcc.ch/sr15/</w:t>
      </w:r>
    </w:p>
  </w:footnote>
  <w:footnote w:id="7">
    <w:p w14:paraId="61FB18C9" w14:textId="329BAB20" w:rsidR="000456F3" w:rsidRDefault="000456F3">
      <w:pPr>
        <w:pStyle w:val="FootnoteText"/>
      </w:pPr>
      <w:r>
        <w:rPr>
          <w:rStyle w:val="FootnoteReference"/>
        </w:rPr>
        <w:footnoteRef/>
      </w:r>
      <w:r>
        <w:t xml:space="preserve"> </w:t>
      </w:r>
      <w:r w:rsidRPr="000456F3">
        <w:t>https://www.valitsus.ee/uudised/valitsus-toetab-euroopa-kliimaneutraalsuse-saavutamist-aastaks-2050</w:t>
      </w:r>
    </w:p>
  </w:footnote>
  <w:footnote w:id="8">
    <w:p w14:paraId="066CAB27" w14:textId="77777777" w:rsidR="000456F3" w:rsidRDefault="000456F3" w:rsidP="000456F3">
      <w:pPr>
        <w:pStyle w:val="FootnoteText"/>
      </w:pPr>
      <w:r>
        <w:rPr>
          <w:rStyle w:val="FootnoteReference"/>
        </w:rPr>
        <w:footnoteRef/>
      </w:r>
      <w:r>
        <w:t xml:space="preserve"> Majandus- ja Kommunikatsiooniministeerium. (2021) Energiamajanduse arengukava aastani 2035</w:t>
      </w:r>
    </w:p>
    <w:p w14:paraId="11EEAAB9" w14:textId="77777777" w:rsidR="000456F3" w:rsidRDefault="000456F3" w:rsidP="000456F3">
      <w:pPr>
        <w:pStyle w:val="FootnoteText"/>
      </w:pPr>
      <w:r>
        <w:t>koostamise ettepanek. – Energiatalgud. https://energiatalgud.ee/sites/default/files/2021-</w:t>
      </w:r>
    </w:p>
    <w:p w14:paraId="7BC15E3D" w14:textId="0C182D7D" w:rsidR="000456F3" w:rsidRDefault="000456F3" w:rsidP="000456F3">
      <w:pPr>
        <w:pStyle w:val="FootnoteText"/>
      </w:pPr>
      <w:r>
        <w:t>12/ENMAK%202035%20koostamise%20ettepanek.pdf, lk 3.</w:t>
      </w:r>
    </w:p>
  </w:footnote>
  <w:footnote w:id="9">
    <w:p w14:paraId="597CD858" w14:textId="1559DE99" w:rsidR="00F41CFC" w:rsidRDefault="00F41CFC">
      <w:pPr>
        <w:pStyle w:val="FootnoteText"/>
      </w:pPr>
      <w:r>
        <w:rPr>
          <w:rStyle w:val="FootnoteReference"/>
        </w:rPr>
        <w:footnoteRef/>
      </w:r>
      <w:r>
        <w:t xml:space="preserve"> </w:t>
      </w:r>
      <w:hyperlink r:id="rId2" w:history="1">
        <w:r w:rsidRPr="00276860">
          <w:rPr>
            <w:rStyle w:val="Hyperlink"/>
          </w:rPr>
          <w:t>https://climateactiontracker.org/countries/eu/</w:t>
        </w:r>
      </w:hyperlink>
      <w:r>
        <w:t xml:space="preserve"> </w:t>
      </w:r>
    </w:p>
  </w:footnote>
  <w:footnote w:id="10">
    <w:p w14:paraId="57C946C6" w14:textId="758E375A" w:rsidR="00336178" w:rsidRDefault="00336178">
      <w:pPr>
        <w:pStyle w:val="FootnoteText"/>
      </w:pPr>
      <w:r>
        <w:rPr>
          <w:rStyle w:val="FootnoteReference"/>
        </w:rPr>
        <w:footnoteRef/>
      </w:r>
      <w:r>
        <w:t xml:space="preserve"> </w:t>
      </w:r>
      <w:hyperlink r:id="rId3" w:anchor="kasvuhoonegaaside-he" w:history="1">
        <w:r w:rsidRPr="00276860">
          <w:rPr>
            <w:rStyle w:val="Hyperlink"/>
          </w:rPr>
          <w:t>https://envir.ee/kliima/kasvuhoonegaasid#kasvuhoonegaaside-he</w:t>
        </w:r>
      </w:hyperlink>
      <w:r>
        <w:t xml:space="preserve"> </w:t>
      </w:r>
    </w:p>
  </w:footnote>
  <w:footnote w:id="11">
    <w:p w14:paraId="59E2C30A" w14:textId="77777777" w:rsidR="00F41896" w:rsidRPr="001C5847" w:rsidRDefault="00336178" w:rsidP="00F41896">
      <w:pPr>
        <w:pStyle w:val="FootnoteText"/>
        <w:rPr>
          <w:sz w:val="16"/>
          <w:szCs w:val="16"/>
        </w:rPr>
      </w:pPr>
      <w:r w:rsidRPr="001C5847">
        <w:rPr>
          <w:rStyle w:val="FootnoteReference"/>
          <w:sz w:val="16"/>
          <w:szCs w:val="16"/>
        </w:rPr>
        <w:footnoteRef/>
      </w:r>
      <w:r w:rsidRPr="001C5847">
        <w:rPr>
          <w:sz w:val="16"/>
          <w:szCs w:val="16"/>
        </w:rPr>
        <w:t xml:space="preserve"> </w:t>
      </w:r>
      <w:r w:rsidR="00F41896" w:rsidRPr="001C5847">
        <w:rPr>
          <w:sz w:val="16"/>
          <w:szCs w:val="16"/>
        </w:rPr>
        <w:t>Sarv, P. (2023) Põhiseadus § 5 kommenteeritud väljaanne. https://pohiseadus.riigioigus.ee/v1/eestivabariigi-</w:t>
      </w:r>
    </w:p>
    <w:p w14:paraId="2F3E2D06" w14:textId="2FC8174D" w:rsidR="00336178" w:rsidRPr="001C5847" w:rsidRDefault="00F41896" w:rsidP="00F41896">
      <w:pPr>
        <w:pStyle w:val="FootnoteText"/>
        <w:rPr>
          <w:sz w:val="16"/>
          <w:szCs w:val="16"/>
        </w:rPr>
      </w:pPr>
      <w:r w:rsidRPr="001C5847">
        <w:rPr>
          <w:sz w:val="16"/>
          <w:szCs w:val="16"/>
        </w:rPr>
        <w:t>pohiseadus/i-uldsatted-ss-1-7/ss-5-loodusvarade-saastlik-kasutamine#25-kirjeldus, 21.04.2023.</w:t>
      </w:r>
    </w:p>
  </w:footnote>
  <w:footnote w:id="12">
    <w:p w14:paraId="1A45C962" w14:textId="77777777" w:rsidR="001C5847" w:rsidRPr="001C5847" w:rsidRDefault="001C5847" w:rsidP="001C5847">
      <w:pPr>
        <w:pStyle w:val="FootnoteText"/>
        <w:rPr>
          <w:sz w:val="16"/>
          <w:szCs w:val="16"/>
        </w:rPr>
      </w:pPr>
      <w:r w:rsidRPr="001C5847">
        <w:rPr>
          <w:rStyle w:val="FootnoteReference"/>
          <w:sz w:val="16"/>
          <w:szCs w:val="16"/>
        </w:rPr>
        <w:footnoteRef/>
      </w:r>
      <w:r w:rsidRPr="001C5847">
        <w:rPr>
          <w:sz w:val="16"/>
          <w:szCs w:val="16"/>
        </w:rPr>
        <w:t xml:space="preserve"> Roose, A. et al. (2015) Kliimamuutuste mõjude hindamine ja kohanemismeetmete väljatöötamine</w:t>
      </w:r>
    </w:p>
    <w:p w14:paraId="06B97313" w14:textId="024B79EA" w:rsidR="001C5847" w:rsidRDefault="001C5847" w:rsidP="001C5847">
      <w:pPr>
        <w:pStyle w:val="FootnoteText"/>
      </w:pPr>
      <w:r w:rsidRPr="001C5847">
        <w:rPr>
          <w:sz w:val="16"/>
          <w:szCs w:val="16"/>
        </w:rPr>
        <w:t>planeeringute, maakasutuse, inimtervise ja päästevõimekuse teemas (KATI). Lõpparuanne. Lk 129.</w:t>
      </w:r>
    </w:p>
  </w:footnote>
  <w:footnote w:id="13">
    <w:p w14:paraId="5F427A8E" w14:textId="3FBE7CAD" w:rsidR="001C5847" w:rsidRDefault="001C5847" w:rsidP="001C5847">
      <w:pPr>
        <w:pStyle w:val="FootnoteText"/>
      </w:pPr>
      <w:r>
        <w:rPr>
          <w:rStyle w:val="FootnoteReference"/>
        </w:rPr>
        <w:footnoteRef/>
      </w:r>
      <w:r>
        <w:t xml:space="preserve"> </w:t>
      </w:r>
      <w:r w:rsidRPr="001C5847">
        <w:rPr>
          <w:sz w:val="16"/>
          <w:szCs w:val="16"/>
        </w:rPr>
        <w:t>Jäädmaa, T., Kriiska, K. (2023) Soovitused kliimamõju hindamiseks KSHs ja KMHs</w:t>
      </w:r>
      <w:r>
        <w:rPr>
          <w:sz w:val="16"/>
          <w:szCs w:val="16"/>
        </w:rPr>
        <w:t xml:space="preserve"> </w:t>
      </w:r>
      <w:r w:rsidRPr="001C5847">
        <w:rPr>
          <w:sz w:val="16"/>
          <w:szCs w:val="16"/>
        </w:rPr>
        <w:t>ning kliimakaalutluste arvesse võtmiseks haldusotsustes. – SA Keskkonnaõiguse Keskus.</w:t>
      </w:r>
      <w:r>
        <w:rPr>
          <w:sz w:val="16"/>
          <w:szCs w:val="16"/>
        </w:rPr>
        <w:t xml:space="preserve"> </w:t>
      </w:r>
      <w:hyperlink r:id="rId4" w:history="1">
        <w:r w:rsidRPr="00EA26FD">
          <w:rPr>
            <w:rStyle w:val="Hyperlink"/>
            <w:sz w:val="16"/>
            <w:szCs w:val="16"/>
          </w:rPr>
          <w:t>http://media.voog.com/0000/0036/5677/files/Kliimamoju-hindamisesuunis%20K%C3%95K%202023.pdf</w:t>
        </w:r>
      </w:hyperlink>
      <w:r w:rsidRPr="001C5847">
        <w:rPr>
          <w:sz w:val="16"/>
          <w:szCs w:val="16"/>
        </w:rPr>
        <w:t>, lk 38.</w:t>
      </w:r>
    </w:p>
  </w:footnote>
  <w:footnote w:id="14">
    <w:p w14:paraId="6D93E666" w14:textId="0A270D69" w:rsidR="001C5847" w:rsidRPr="001C5847" w:rsidRDefault="001C5847" w:rsidP="001C5847">
      <w:pPr>
        <w:pStyle w:val="FootnoteText"/>
        <w:rPr>
          <w:sz w:val="16"/>
          <w:szCs w:val="16"/>
        </w:rPr>
      </w:pPr>
      <w:r w:rsidRPr="001C5847">
        <w:rPr>
          <w:rStyle w:val="FootnoteReference"/>
          <w:sz w:val="16"/>
          <w:szCs w:val="16"/>
        </w:rPr>
        <w:footnoteRef/>
      </w:r>
      <w:r w:rsidRPr="001C5847">
        <w:rPr>
          <w:sz w:val="16"/>
          <w:szCs w:val="16"/>
        </w:rPr>
        <w:t xml:space="preserve"> </w:t>
      </w:r>
      <w:hyperlink r:id="rId5" w:history="1">
        <w:r w:rsidRPr="001C5847">
          <w:rPr>
            <w:rStyle w:val="Hyperlink"/>
            <w:sz w:val="16"/>
            <w:szCs w:val="16"/>
          </w:rPr>
          <w:t>http://media.voog.com/0000/0036/5677/files/Kliimamoju-hindamisesuunis%20K%C3%95K%202023.pdf</w:t>
        </w:r>
      </w:hyperlink>
      <w:r w:rsidRPr="001C5847">
        <w:rPr>
          <w:sz w:val="16"/>
          <w:szCs w:val="16"/>
        </w:rPr>
        <w:t>, lk 36.</w:t>
      </w:r>
    </w:p>
  </w:footnote>
  <w:footnote w:id="15">
    <w:p w14:paraId="7B44E69E" w14:textId="6DCE2516" w:rsidR="001C5847" w:rsidRDefault="001C5847" w:rsidP="001C5847">
      <w:pPr>
        <w:pStyle w:val="FootnoteText"/>
      </w:pPr>
      <w:r w:rsidRPr="001C5847">
        <w:rPr>
          <w:rStyle w:val="FootnoteReference"/>
          <w:sz w:val="16"/>
          <w:szCs w:val="16"/>
        </w:rPr>
        <w:footnoteRef/>
      </w:r>
      <w:r w:rsidRPr="001C5847">
        <w:rPr>
          <w:sz w:val="16"/>
          <w:szCs w:val="16"/>
        </w:rPr>
        <w:t xml:space="preserve"> </w:t>
      </w:r>
      <w:hyperlink r:id="rId6" w:history="1">
        <w:r w:rsidRPr="001C5847">
          <w:rPr>
            <w:rStyle w:val="Hyperlink"/>
            <w:sz w:val="16"/>
            <w:szCs w:val="16"/>
          </w:rPr>
          <w:t>https://www.iema.net/resources/blog/2022/02/28/launch-of-the-updated-eia-guidance-onassessing-ghg-emissions</w:t>
        </w:r>
      </w:hyperlink>
      <w:r w:rsidRPr="001C5847">
        <w:rPr>
          <w:sz w:val="16"/>
          <w:szCs w:val="16"/>
        </w:rPr>
        <w:t>, lk 27.</w:t>
      </w:r>
    </w:p>
  </w:footnote>
  <w:footnote w:id="16">
    <w:p w14:paraId="41CB3761" w14:textId="49F9036C" w:rsidR="001C5847" w:rsidRPr="00E80E7E" w:rsidRDefault="001C5847">
      <w:pPr>
        <w:pStyle w:val="FootnoteText"/>
        <w:rPr>
          <w:sz w:val="16"/>
          <w:szCs w:val="16"/>
        </w:rPr>
      </w:pPr>
      <w:r>
        <w:rPr>
          <w:rStyle w:val="FootnoteReference"/>
        </w:rPr>
        <w:footnoteRef/>
      </w:r>
      <w:r>
        <w:t xml:space="preserve"> </w:t>
      </w:r>
      <w:hyperlink r:id="rId7" w:history="1">
        <w:r w:rsidR="00E80E7E" w:rsidRPr="00E80E7E">
          <w:rPr>
            <w:rStyle w:val="Hyperlink"/>
            <w:sz w:val="16"/>
            <w:szCs w:val="16"/>
          </w:rPr>
          <w:t>https://www.ipcc.ch/report/ar6/wg1/</w:t>
        </w:r>
      </w:hyperlink>
      <w:r w:rsidR="00E80E7E" w:rsidRPr="00E80E7E">
        <w:rPr>
          <w:sz w:val="16"/>
          <w:szCs w:val="16"/>
        </w:rPr>
        <w:t xml:space="preserve"> </w:t>
      </w:r>
    </w:p>
  </w:footnote>
  <w:footnote w:id="17">
    <w:p w14:paraId="3C59A9F1" w14:textId="6B2EB466" w:rsidR="00DA3FE8" w:rsidRDefault="00DA3FE8" w:rsidP="00DA3FE8">
      <w:pPr>
        <w:pStyle w:val="FootnoteText"/>
      </w:pPr>
      <w:r>
        <w:rPr>
          <w:rStyle w:val="FootnoteReference"/>
        </w:rPr>
        <w:footnoteRef/>
      </w:r>
      <w:r>
        <w:t xml:space="preserve"> </w:t>
      </w:r>
      <w:r w:rsidRPr="00DA3FE8">
        <w:rPr>
          <w:sz w:val="16"/>
          <w:szCs w:val="16"/>
        </w:rPr>
        <w:t>Vt Meeliste, S. et al. (2019) Eesti kliimaambitsiooni tõstmise võimaluste analüüs. – Stockholmi Keskkonnainstituudi Tallinna Keskus, lk 6 ja 43.</w:t>
      </w:r>
    </w:p>
  </w:footnote>
  <w:footnote w:id="18">
    <w:p w14:paraId="40F050BA" w14:textId="6E40A662" w:rsidR="00254F49" w:rsidRDefault="00254F49">
      <w:pPr>
        <w:pStyle w:val="FootnoteText"/>
      </w:pPr>
      <w:r>
        <w:rPr>
          <w:rStyle w:val="FootnoteReference"/>
        </w:rPr>
        <w:footnoteRef/>
      </w:r>
      <w:r>
        <w:t xml:space="preserve"> </w:t>
      </w:r>
      <w:r w:rsidRPr="00254F49">
        <w:rPr>
          <w:sz w:val="16"/>
          <w:szCs w:val="16"/>
        </w:rPr>
        <w:t>Õiglase ülemineku territoriaalne kava, lk 13.</w:t>
      </w:r>
    </w:p>
  </w:footnote>
  <w:footnote w:id="19">
    <w:p w14:paraId="15189E1A" w14:textId="7DCF8AE0" w:rsidR="00254F49" w:rsidRDefault="00254F49" w:rsidP="00254F49">
      <w:pPr>
        <w:pStyle w:val="FootnoteText"/>
      </w:pPr>
      <w:r>
        <w:rPr>
          <w:rStyle w:val="FootnoteReference"/>
        </w:rPr>
        <w:footnoteRef/>
      </w:r>
      <w:r>
        <w:t xml:space="preserve"> </w:t>
      </w:r>
      <w:r w:rsidRPr="00254F49">
        <w:rPr>
          <w:sz w:val="16"/>
          <w:szCs w:val="16"/>
        </w:rPr>
        <w:t>Meeliste, S. et al. (2019) Eesti kliimaambitsiooni tõstmise võimaluste analüüs. – Stockholmi Keskkonnainstituudi Tallinna Keskus, lk 43.</w:t>
      </w:r>
    </w:p>
  </w:footnote>
  <w:footnote w:id="20">
    <w:p w14:paraId="2B1B9275" w14:textId="315E8492" w:rsidR="00254F49" w:rsidRDefault="00254F49" w:rsidP="00254F49">
      <w:pPr>
        <w:pStyle w:val="FootnoteText"/>
      </w:pPr>
      <w:r>
        <w:rPr>
          <w:rStyle w:val="FootnoteReference"/>
        </w:rPr>
        <w:footnoteRef/>
      </w:r>
      <w:r>
        <w:t xml:space="preserve"> </w:t>
      </w:r>
      <w:r w:rsidRPr="00254F49">
        <w:rPr>
          <w:sz w:val="16"/>
          <w:szCs w:val="16"/>
        </w:rPr>
        <w:t xml:space="preserve">IPCC, 2022: Summary for Policymakers. In: Climate Change 2022: Mitigation of Climate Change. Contribution of Working Group III to the Sixth Assessment Report of the Intergovernmental Panel on Climate Change. – </w:t>
      </w:r>
      <w:hyperlink r:id="rId8" w:history="1">
        <w:r w:rsidRPr="00254F49">
          <w:rPr>
            <w:rStyle w:val="Hyperlink"/>
            <w:sz w:val="16"/>
            <w:szCs w:val="16"/>
          </w:rPr>
          <w:t>https://www.ipcc.ch/report/ar6/wg3/downloads/report/IPCC_AR6_WGIII_SummaryForPolicymakers.pdf</w:t>
        </w:r>
      </w:hyperlink>
      <w:r w:rsidRPr="00254F49">
        <w:rPr>
          <w:sz w:val="16"/>
          <w:szCs w:val="16"/>
        </w:rPr>
        <w:t xml:space="preserve"> C4.4.</w:t>
      </w:r>
    </w:p>
  </w:footnote>
  <w:footnote w:id="21">
    <w:p w14:paraId="7EB8ED82" w14:textId="77777777" w:rsidR="00D25000" w:rsidRPr="00D25000" w:rsidRDefault="00D25000" w:rsidP="00D25000">
      <w:pPr>
        <w:pStyle w:val="FootnoteText"/>
        <w:rPr>
          <w:sz w:val="16"/>
          <w:szCs w:val="16"/>
        </w:rPr>
      </w:pPr>
      <w:r>
        <w:rPr>
          <w:rStyle w:val="FootnoteReference"/>
        </w:rPr>
        <w:footnoteRef/>
      </w:r>
      <w:r>
        <w:t xml:space="preserve"> </w:t>
      </w:r>
      <w:r w:rsidRPr="00D25000">
        <w:rPr>
          <w:sz w:val="16"/>
          <w:szCs w:val="16"/>
        </w:rPr>
        <w:t>European Investment Bank Group. (2020) EIB Group Climate Bank Roadmap 2021-2025.</w:t>
      </w:r>
    </w:p>
    <w:p w14:paraId="3ADF21FE" w14:textId="464D724D" w:rsidR="00D25000" w:rsidRPr="00D25000" w:rsidRDefault="00052E48" w:rsidP="00D25000">
      <w:pPr>
        <w:pStyle w:val="FootnoteText"/>
        <w:rPr>
          <w:sz w:val="16"/>
          <w:szCs w:val="16"/>
        </w:rPr>
      </w:pPr>
      <w:hyperlink r:id="rId9" w:history="1">
        <w:r w:rsidR="00D25000" w:rsidRPr="00EA26FD">
          <w:rPr>
            <w:rStyle w:val="Hyperlink"/>
            <w:sz w:val="16"/>
            <w:szCs w:val="16"/>
          </w:rPr>
          <w:t>https://www.eib.org/attachments/thematic/eib_group_climate_bank_roadmap_en.pdf</w:t>
        </w:r>
      </w:hyperlink>
      <w:r w:rsidR="00D25000" w:rsidRPr="00D25000">
        <w:rPr>
          <w:sz w:val="16"/>
          <w:szCs w:val="16"/>
        </w:rPr>
        <w:t>, lk 47–48.</w:t>
      </w:r>
    </w:p>
  </w:footnote>
  <w:footnote w:id="22">
    <w:p w14:paraId="1C5C4D28" w14:textId="77A95509" w:rsidR="00FD5087" w:rsidRPr="00FD5087" w:rsidRDefault="00FD5087" w:rsidP="00FD5087">
      <w:pPr>
        <w:pStyle w:val="FootnoteText"/>
        <w:rPr>
          <w:sz w:val="16"/>
          <w:szCs w:val="16"/>
        </w:rPr>
      </w:pPr>
      <w:r>
        <w:rPr>
          <w:rStyle w:val="FootnoteReference"/>
        </w:rPr>
        <w:footnoteRef/>
      </w:r>
      <w:r>
        <w:t xml:space="preserve"> </w:t>
      </w:r>
      <w:r w:rsidRPr="00FD5087">
        <w:rPr>
          <w:sz w:val="16"/>
          <w:szCs w:val="16"/>
        </w:rPr>
        <w:t>Bressler, R. D. (2021) The mortality cost of carbon. Nat Commun 12, 4467. – https://doi.org/10.1038/s41467-021-24487-w, 21.04.2023.</w:t>
      </w:r>
    </w:p>
  </w:footnote>
  <w:footnote w:id="23">
    <w:p w14:paraId="3946B77E" w14:textId="294EDC4E" w:rsidR="00FD5087" w:rsidRDefault="00FD5087">
      <w:pPr>
        <w:pStyle w:val="FootnoteText"/>
      </w:pPr>
      <w:r>
        <w:rPr>
          <w:rStyle w:val="FootnoteReference"/>
        </w:rPr>
        <w:footnoteRef/>
      </w:r>
      <w:r>
        <w:t xml:space="preserve"> </w:t>
      </w:r>
      <w:r w:rsidR="008C1544" w:rsidRPr="008C1544">
        <w:rPr>
          <w:sz w:val="16"/>
          <w:szCs w:val="16"/>
        </w:rPr>
        <w:t>Arvutuskäik: 886 665.6 t CO2 / a ∙ 0,000226 surma / t CO2 = 200 surma.</w:t>
      </w:r>
    </w:p>
  </w:footnote>
  <w:footnote w:id="24">
    <w:p w14:paraId="0F2123E2" w14:textId="04135EB7" w:rsidR="008C1544" w:rsidRDefault="008C1544" w:rsidP="008C1544">
      <w:pPr>
        <w:pStyle w:val="FootnoteText"/>
      </w:pPr>
      <w:r>
        <w:rPr>
          <w:rStyle w:val="FootnoteReference"/>
        </w:rPr>
        <w:footnoteRef/>
      </w:r>
      <w:r>
        <w:t xml:space="preserve"> </w:t>
      </w:r>
      <w:r w:rsidRPr="008C1544">
        <w:rPr>
          <w:sz w:val="16"/>
          <w:szCs w:val="16"/>
        </w:rPr>
        <w:t>Arvutuskäik: 200 surma + [kasutatava põlevkivi mass ∙ süsiniku sisaldus põlevkivis – (põlevkiviõli</w:t>
      </w:r>
      <w:r>
        <w:rPr>
          <w:sz w:val="16"/>
          <w:szCs w:val="16"/>
        </w:rPr>
        <w:t xml:space="preserve"> </w:t>
      </w:r>
      <w:r w:rsidRPr="008C1544">
        <w:rPr>
          <w:sz w:val="16"/>
          <w:szCs w:val="16"/>
        </w:rPr>
        <w:t>kogus ∙ süsiniku sisaldus põlevkiviõlis + põlevkivibensiini kogus ∙ süsiniku sisaldus põlevkivis +</w:t>
      </w:r>
      <w:r>
        <w:rPr>
          <w:sz w:val="16"/>
          <w:szCs w:val="16"/>
        </w:rPr>
        <w:t xml:space="preserve"> </w:t>
      </w:r>
      <w:r w:rsidRPr="008C1544">
        <w:rPr>
          <w:sz w:val="16"/>
          <w:szCs w:val="16"/>
        </w:rPr>
        <w:t>uttegaasi kogus ∙ süsiniku sisaldus uttegaasis)] ∙ CO2 ja C molaarmassi suhe ∙ 0,00226 surma / t CO2 =</w:t>
      </w:r>
      <w:r>
        <w:rPr>
          <w:sz w:val="16"/>
          <w:szCs w:val="16"/>
        </w:rPr>
        <w:t xml:space="preserve"> </w:t>
      </w:r>
      <w:r w:rsidRPr="008C1544">
        <w:rPr>
          <w:sz w:val="16"/>
          <w:szCs w:val="16"/>
        </w:rPr>
        <w:t>200 surma + [2300000 t ∙ 0,2049675 tC / t – (286740 t ∙ 0,814 tC / t + 37260 t ∙ 0,804 tC / t + 97200000</w:t>
      </w:r>
      <w:r>
        <w:rPr>
          <w:sz w:val="16"/>
          <w:szCs w:val="16"/>
        </w:rPr>
        <w:t xml:space="preserve"> </w:t>
      </w:r>
      <w:r w:rsidRPr="008C1544">
        <w:rPr>
          <w:sz w:val="16"/>
          <w:szCs w:val="16"/>
        </w:rPr>
        <w:t>Nm3 ∙ 0,000873439 tC / Nm3)] ∙ 3,664 ∙ 0,00226 surma / t CO2 = 488 surma.</w:t>
      </w:r>
    </w:p>
  </w:footnote>
  <w:footnote w:id="25">
    <w:p w14:paraId="5ADAA133" w14:textId="2C10B6F3" w:rsidR="008C1544" w:rsidRDefault="008C1544">
      <w:pPr>
        <w:pStyle w:val="FootnoteText"/>
      </w:pPr>
      <w:r>
        <w:rPr>
          <w:rStyle w:val="FootnoteReference"/>
        </w:rPr>
        <w:footnoteRef/>
      </w:r>
      <w:r>
        <w:t xml:space="preserve"> </w:t>
      </w:r>
      <w:r w:rsidRPr="008C1544">
        <w:rPr>
          <w:sz w:val="16"/>
          <w:szCs w:val="16"/>
        </w:rPr>
        <w:t>Arvutuskäik: 519 925.6 t CO2 / a ∙ 0,000226 surma / t CO2 = 118 surma.</w:t>
      </w:r>
    </w:p>
  </w:footnote>
  <w:footnote w:id="26">
    <w:p w14:paraId="5B2F5300" w14:textId="5ACDA148" w:rsidR="008C1544" w:rsidRPr="008C1544" w:rsidRDefault="008C1544" w:rsidP="008C1544">
      <w:pPr>
        <w:pStyle w:val="FootnoteText"/>
        <w:rPr>
          <w:sz w:val="16"/>
          <w:szCs w:val="16"/>
        </w:rPr>
      </w:pPr>
      <w:r>
        <w:rPr>
          <w:rStyle w:val="FootnoteReference"/>
        </w:rPr>
        <w:footnoteRef/>
      </w:r>
      <w:r>
        <w:t xml:space="preserve"> </w:t>
      </w:r>
      <w:r w:rsidRPr="008C1544">
        <w:rPr>
          <w:sz w:val="16"/>
          <w:szCs w:val="16"/>
        </w:rPr>
        <w:t>Arvutuskäik: 118 surma + [kasutatava põlevkivi mass ∙ süsiniku sisaldus põlevkivis – (põlevkiviõli kogus ∙ süsiniku sisaldus põlevkiviõlis + põlevkivibensiini kogus ∙ süsiniku sisaldus põlevkivis +</w:t>
      </w:r>
      <w:r>
        <w:rPr>
          <w:sz w:val="16"/>
          <w:szCs w:val="16"/>
        </w:rPr>
        <w:t xml:space="preserve"> </w:t>
      </w:r>
      <w:r w:rsidRPr="008C1544">
        <w:rPr>
          <w:sz w:val="16"/>
          <w:szCs w:val="16"/>
        </w:rPr>
        <w:t>uttegaasi kogus ∙ süsiniku sisaldus uttegaasis)] ∙ CO2 ja C molaarmassi suhe ∙ 0,00226 surma / t CO2 =</w:t>
      </w:r>
      <w:r>
        <w:rPr>
          <w:sz w:val="16"/>
          <w:szCs w:val="16"/>
        </w:rPr>
        <w:t xml:space="preserve"> </w:t>
      </w:r>
      <w:r w:rsidRPr="008C1544">
        <w:rPr>
          <w:sz w:val="16"/>
          <w:szCs w:val="16"/>
        </w:rPr>
        <w:t>118 surma + [2014888 t ∙ 0,2049675 tC / t – (239413 t ∙ 0,814 tC / t + 28567 t ∙ 0,804 tC / t + 68500000</w:t>
      </w:r>
      <w:r>
        <w:rPr>
          <w:sz w:val="16"/>
          <w:szCs w:val="16"/>
        </w:rPr>
        <w:t xml:space="preserve"> </w:t>
      </w:r>
      <w:r w:rsidRPr="008C1544">
        <w:rPr>
          <w:sz w:val="16"/>
          <w:szCs w:val="16"/>
        </w:rPr>
        <w:t>Nm3 ∙ 0,000873439 tC / Nm3)] ∙ 3,664 ∙ 0,00226 surma / t CO2 = 348 surma.</w:t>
      </w:r>
    </w:p>
  </w:footnote>
  <w:footnote w:id="27">
    <w:p w14:paraId="6565D7C5" w14:textId="45848033" w:rsidR="008C1544" w:rsidRDefault="008C1544" w:rsidP="008C1544">
      <w:pPr>
        <w:pStyle w:val="FootnoteText"/>
      </w:pPr>
      <w:r>
        <w:rPr>
          <w:rStyle w:val="FootnoteReference"/>
        </w:rPr>
        <w:footnoteRef/>
      </w:r>
      <w:r>
        <w:t xml:space="preserve"> </w:t>
      </w:r>
      <w:r w:rsidRPr="008C1544">
        <w:rPr>
          <w:sz w:val="16"/>
          <w:szCs w:val="16"/>
        </w:rPr>
        <w:t>Roose, A. et al. (2015) Kliimamuutuste mõjude hindamine ja kohanemismeetmete väljatöötamine planeeringute, maakasutuse, inimtervise ja päästevõimekuse teemas (KATI). Lõpparuanne. Lk 129.</w:t>
      </w:r>
    </w:p>
  </w:footnote>
  <w:footnote w:id="28">
    <w:p w14:paraId="7FF7DBED" w14:textId="39BA83B4" w:rsidR="009D405D" w:rsidRDefault="009D405D">
      <w:pPr>
        <w:pStyle w:val="FootnoteText"/>
      </w:pPr>
      <w:r>
        <w:rPr>
          <w:rStyle w:val="FootnoteReference"/>
        </w:rPr>
        <w:footnoteRef/>
      </w:r>
      <w:r>
        <w:t xml:space="preserve"> </w:t>
      </w:r>
      <w:hyperlink r:id="rId10" w:history="1">
        <w:r w:rsidRPr="009D405D">
          <w:rPr>
            <w:rStyle w:val="Hyperlink"/>
            <w:sz w:val="16"/>
            <w:szCs w:val="16"/>
          </w:rPr>
          <w:t>https://adr.rik.ee/ram/dokument/10892028</w:t>
        </w:r>
      </w:hyperlink>
      <w:r>
        <w:t xml:space="preserve"> </w:t>
      </w:r>
    </w:p>
  </w:footnote>
  <w:footnote w:id="29">
    <w:p w14:paraId="390037D5" w14:textId="3010FBCB" w:rsidR="009D405D" w:rsidRPr="009D405D" w:rsidRDefault="009D405D" w:rsidP="009D405D">
      <w:pPr>
        <w:pStyle w:val="FootnoteText"/>
        <w:rPr>
          <w:sz w:val="16"/>
          <w:szCs w:val="16"/>
        </w:rPr>
      </w:pPr>
      <w:r>
        <w:rPr>
          <w:rStyle w:val="FootnoteReference"/>
        </w:rPr>
        <w:footnoteRef/>
      </w:r>
      <w:r>
        <w:t xml:space="preserve"> </w:t>
      </w:r>
      <w:r w:rsidRPr="009D405D">
        <w:rPr>
          <w:sz w:val="16"/>
          <w:szCs w:val="16"/>
        </w:rPr>
        <w:t>Saksa konstitutsioonikohus on leidnud, et ühel põlvkonnal ei tohi lubada kasutada ära suurt osa CO2</w:t>
      </w:r>
      <w:r>
        <w:rPr>
          <w:sz w:val="16"/>
          <w:szCs w:val="16"/>
        </w:rPr>
        <w:t xml:space="preserve"> </w:t>
      </w:r>
      <w:r w:rsidRPr="009D405D">
        <w:rPr>
          <w:sz w:val="16"/>
          <w:szCs w:val="16"/>
        </w:rPr>
        <w:t>eelarvest, kandes suhteliselt väikest osa vähendamise koormast, kui see jätab järgnevatele</w:t>
      </w:r>
      <w:r>
        <w:rPr>
          <w:sz w:val="16"/>
          <w:szCs w:val="16"/>
        </w:rPr>
        <w:t xml:space="preserve"> </w:t>
      </w:r>
      <w:r w:rsidRPr="009D405D">
        <w:rPr>
          <w:sz w:val="16"/>
          <w:szCs w:val="16"/>
        </w:rPr>
        <w:t>põlvkondadele drastilise vähendamise koorma ning jätab nad ilma olulistest vabadustest. BVerfG,</w:t>
      </w:r>
      <w:r>
        <w:rPr>
          <w:sz w:val="16"/>
          <w:szCs w:val="16"/>
        </w:rPr>
        <w:t xml:space="preserve"> </w:t>
      </w:r>
      <w:r w:rsidRPr="009D405D">
        <w:rPr>
          <w:sz w:val="16"/>
          <w:szCs w:val="16"/>
        </w:rPr>
        <w:t>Beschluss des Ersten Senats vom 24. März 2021 - 1 BvR 2656/18, p 192. Arvutivõrgus:</w:t>
      </w:r>
    </w:p>
    <w:p w14:paraId="731BCA13" w14:textId="6F702A81" w:rsidR="009D405D" w:rsidRPr="009D405D" w:rsidRDefault="009D405D" w:rsidP="009D405D">
      <w:pPr>
        <w:pStyle w:val="FootnoteText"/>
        <w:rPr>
          <w:sz w:val="16"/>
          <w:szCs w:val="16"/>
        </w:rPr>
      </w:pPr>
      <w:r w:rsidRPr="009D405D">
        <w:rPr>
          <w:sz w:val="16"/>
          <w:szCs w:val="16"/>
        </w:rPr>
        <w:t>http://www.bverfg.de/e/rs20210324_1bvr265618.html; otsuse ingliskeelne tõlge:</w:t>
      </w:r>
      <w:r>
        <w:rPr>
          <w:sz w:val="16"/>
          <w:szCs w:val="16"/>
        </w:rPr>
        <w:t xml:space="preserve"> </w:t>
      </w:r>
      <w:hyperlink r:id="rId11" w:history="1">
        <w:r w:rsidRPr="00EA26FD">
          <w:rPr>
            <w:rStyle w:val="Hyperlink"/>
            <w:sz w:val="16"/>
            <w:szCs w:val="16"/>
          </w:rPr>
          <w:t>https://www.bundesverfassungsgericht.de/SharedDocs/Entscheidungen/EN/2021/03/rs20210324_1bvr265618en.html</w:t>
        </w:r>
      </w:hyperlink>
      <w:r w:rsidRPr="009D405D">
        <w:rPr>
          <w:sz w:val="16"/>
          <w:szCs w:val="16"/>
        </w:rPr>
        <w:t>.</w:t>
      </w:r>
    </w:p>
  </w:footnote>
  <w:footnote w:id="30">
    <w:p w14:paraId="386AF5F4" w14:textId="238799A8" w:rsidR="00176CC8" w:rsidRDefault="00176CC8">
      <w:pPr>
        <w:pStyle w:val="FootnoteText"/>
      </w:pPr>
      <w:r>
        <w:rPr>
          <w:rStyle w:val="FootnoteReference"/>
        </w:rPr>
        <w:footnoteRef/>
      </w:r>
      <w:r>
        <w:t xml:space="preserve"> </w:t>
      </w:r>
      <w:hyperlink r:id="rId12" w:history="1">
        <w:r w:rsidRPr="00CB3044">
          <w:rPr>
            <w:rStyle w:val="Hyperlink"/>
            <w:rFonts w:cs="Arial"/>
            <w:sz w:val="16"/>
            <w:szCs w:val="16"/>
          </w:rPr>
          <w:t>https://www.researchgate.net/publication/316893997_Bird_species_richness_and_densities_in_relation_to_sulphur_dioxide_gradients_and_environmental_variables</w:t>
        </w:r>
      </w:hyperlink>
      <w:r>
        <w:rPr>
          <w:rFonts w:cs="Arial"/>
          <w:sz w:val="16"/>
          <w:szCs w:val="16"/>
        </w:rPr>
        <w:t xml:space="preserve"> </w:t>
      </w:r>
    </w:p>
  </w:footnote>
  <w:footnote w:id="31">
    <w:p w14:paraId="7785B855" w14:textId="2B780849" w:rsidR="004F1667" w:rsidRDefault="004F1667" w:rsidP="004F1667">
      <w:pPr>
        <w:pStyle w:val="FootnoteText"/>
      </w:pPr>
      <w:r>
        <w:rPr>
          <w:rStyle w:val="FootnoteReference"/>
        </w:rPr>
        <w:footnoteRef/>
      </w:r>
      <w:r>
        <w:t xml:space="preserve"> </w:t>
      </w:r>
      <w:r w:rsidRPr="004F1667">
        <w:rPr>
          <w:sz w:val="16"/>
          <w:szCs w:val="16"/>
        </w:rPr>
        <w:t>Keskkonnaagentuur. 2017. Madalsoode ja rabade haudelinnustiku seire 2016. aasta aruanne. Lk 6 ja 59.</w:t>
      </w:r>
    </w:p>
  </w:footnote>
  <w:footnote w:id="32">
    <w:p w14:paraId="7B79B21A" w14:textId="4928606C" w:rsidR="004F1667" w:rsidRDefault="004F1667">
      <w:pPr>
        <w:pStyle w:val="FootnoteText"/>
      </w:pPr>
      <w:r>
        <w:rPr>
          <w:rStyle w:val="FootnoteReference"/>
        </w:rPr>
        <w:footnoteRef/>
      </w:r>
      <w:r>
        <w:t xml:space="preserve"> </w:t>
      </w:r>
      <w:r w:rsidRPr="004F1667">
        <w:rPr>
          <w:sz w:val="16"/>
          <w:szCs w:val="16"/>
        </w:rPr>
        <w:t>IUCN kategooriates EN staatus, üks aste enne liigi väljasuremist.</w:t>
      </w:r>
    </w:p>
  </w:footnote>
  <w:footnote w:id="33">
    <w:p w14:paraId="0A4298DA" w14:textId="63FB3027" w:rsidR="004F1667" w:rsidRDefault="004F1667" w:rsidP="004B20A1">
      <w:pPr>
        <w:pStyle w:val="FootnoteText"/>
      </w:pPr>
      <w:r>
        <w:rPr>
          <w:rStyle w:val="FootnoteReference"/>
        </w:rPr>
        <w:footnoteRef/>
      </w:r>
      <w:r>
        <w:t xml:space="preserve"> </w:t>
      </w:r>
      <w:r w:rsidR="004B20A1" w:rsidRPr="004B20A1">
        <w:rPr>
          <w:sz w:val="16"/>
          <w:szCs w:val="16"/>
        </w:rPr>
        <w:t>Keskkonna kompleksloa taotlus T-KKL/1001598-15, p 3 Tegevusala</w:t>
      </w:r>
      <w:r w:rsidR="004B20A1">
        <w:rPr>
          <w:sz w:val="16"/>
          <w:szCs w:val="16"/>
        </w:rPr>
        <w:t xml:space="preserve"> </w:t>
      </w:r>
      <w:hyperlink r:id="rId13" w:history="1">
        <w:r w:rsidR="004B20A1" w:rsidRPr="00EA26FD">
          <w:rPr>
            <w:rStyle w:val="Hyperlink"/>
            <w:sz w:val="16"/>
            <w:szCs w:val="16"/>
          </w:rPr>
          <w:t>https://kotkas.envir.ee/permits/public_application_details?represented_id=&amp;proceeding_id=6606&amp;application_id=1007923</w:t>
        </w:r>
      </w:hyperlink>
      <w:r w:rsidR="004B20A1">
        <w:rPr>
          <w:sz w:val="16"/>
          <w:szCs w:val="16"/>
        </w:rPr>
        <w:t xml:space="preserve"> </w:t>
      </w:r>
    </w:p>
  </w:footnote>
  <w:footnote w:id="34">
    <w:p w14:paraId="6B0B0417" w14:textId="77777777" w:rsidR="004B20A1" w:rsidRPr="004B20A1" w:rsidRDefault="004B20A1" w:rsidP="004B20A1">
      <w:pPr>
        <w:pStyle w:val="FootnoteText"/>
        <w:rPr>
          <w:sz w:val="16"/>
          <w:szCs w:val="16"/>
        </w:rPr>
      </w:pPr>
      <w:r>
        <w:rPr>
          <w:rStyle w:val="FootnoteReference"/>
        </w:rPr>
        <w:footnoteRef/>
      </w:r>
      <w:r>
        <w:t xml:space="preserve"> </w:t>
      </w:r>
      <w:r w:rsidRPr="004B20A1">
        <w:rPr>
          <w:sz w:val="16"/>
          <w:szCs w:val="16"/>
        </w:rPr>
        <w:t>Relve, K. Natura 2000 võrgustik Euroopa Liidu ja Eesti õiguses, KÕK 2022.</w:t>
      </w:r>
    </w:p>
    <w:p w14:paraId="4FD365E0" w14:textId="1075B13D" w:rsidR="004B20A1" w:rsidRDefault="00052E48" w:rsidP="004B20A1">
      <w:pPr>
        <w:pStyle w:val="FootnoteText"/>
      </w:pPr>
      <w:hyperlink r:id="rId14" w:history="1">
        <w:r w:rsidR="004B20A1" w:rsidRPr="004B20A1">
          <w:rPr>
            <w:rStyle w:val="Hyperlink"/>
            <w:sz w:val="16"/>
            <w:szCs w:val="16"/>
          </w:rPr>
          <w:t>https://media.voog.com/0000/0036/5677/files/Natura%202000%20ELi%20ja%20Eesti%20oiguses_K6K2022.pdf</w:t>
        </w:r>
      </w:hyperlink>
      <w:r w:rsidR="004B20A1" w:rsidRPr="004B20A1">
        <w:rPr>
          <w:sz w:val="16"/>
          <w:szCs w:val="16"/>
        </w:rPr>
        <w:t>, lk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A11"/>
    <w:multiLevelType w:val="hybridMultilevel"/>
    <w:tmpl w:val="5566BAC0"/>
    <w:lvl w:ilvl="0" w:tplc="707247C0">
      <w:start w:val="1"/>
      <w:numFmt w:val="bullet"/>
      <w:pStyle w:val="Bullet1"/>
      <w:lvlText w:val=""/>
      <w:lvlJc w:val="left"/>
      <w:pPr>
        <w:ind w:left="720" w:hanging="360"/>
      </w:pPr>
      <w:rPr>
        <w:rFonts w:ascii="Wingdings" w:hAnsi="Wingdings" w:hint="default"/>
        <w:color w:val="00736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227B52"/>
    <w:multiLevelType w:val="multilevel"/>
    <w:tmpl w:val="880A5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B05C8C"/>
    <w:multiLevelType w:val="hybridMultilevel"/>
    <w:tmpl w:val="DF4A93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58C1349"/>
    <w:multiLevelType w:val="hybridMultilevel"/>
    <w:tmpl w:val="3DCC49D4"/>
    <w:lvl w:ilvl="0" w:tplc="A6602CF6">
      <w:numFmt w:val="bullet"/>
      <w:lvlText w:val="-"/>
      <w:lvlJc w:val="left"/>
      <w:pPr>
        <w:ind w:left="720" w:hanging="36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C5D49"/>
    <w:multiLevelType w:val="hybridMultilevel"/>
    <w:tmpl w:val="A98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71A5B"/>
    <w:multiLevelType w:val="hybridMultilevel"/>
    <w:tmpl w:val="92766366"/>
    <w:lvl w:ilvl="0" w:tplc="E2B8343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4001758"/>
    <w:multiLevelType w:val="hybridMultilevel"/>
    <w:tmpl w:val="8ABCC6E8"/>
    <w:lvl w:ilvl="0" w:tplc="5718AD2C">
      <w:start w:val="1"/>
      <w:numFmt w:val="bullet"/>
      <w:lvlText w:val=""/>
      <w:lvlJc w:val="left"/>
      <w:pPr>
        <w:ind w:left="745" w:hanging="360"/>
      </w:pPr>
      <w:rPr>
        <w:rFonts w:ascii="Wingdings" w:hAnsi="Wingdings" w:hint="default"/>
        <w:color w:val="007360"/>
        <w:sz w:val="26"/>
        <w:u w:color="FFFFFF"/>
      </w:rPr>
    </w:lvl>
    <w:lvl w:ilvl="1" w:tplc="04250003">
      <w:start w:val="1"/>
      <w:numFmt w:val="bullet"/>
      <w:lvlText w:val="o"/>
      <w:lvlJc w:val="left"/>
      <w:pPr>
        <w:ind w:left="1465" w:hanging="360"/>
      </w:pPr>
      <w:rPr>
        <w:rFonts w:ascii="Courier New" w:hAnsi="Courier New" w:cs="Courier New" w:hint="default"/>
      </w:rPr>
    </w:lvl>
    <w:lvl w:ilvl="2" w:tplc="04250005" w:tentative="1">
      <w:start w:val="1"/>
      <w:numFmt w:val="bullet"/>
      <w:lvlText w:val=""/>
      <w:lvlJc w:val="left"/>
      <w:pPr>
        <w:ind w:left="2185" w:hanging="360"/>
      </w:pPr>
      <w:rPr>
        <w:rFonts w:ascii="Wingdings" w:hAnsi="Wingdings" w:hint="default"/>
      </w:rPr>
    </w:lvl>
    <w:lvl w:ilvl="3" w:tplc="04250001" w:tentative="1">
      <w:start w:val="1"/>
      <w:numFmt w:val="bullet"/>
      <w:lvlText w:val=""/>
      <w:lvlJc w:val="left"/>
      <w:pPr>
        <w:ind w:left="2905" w:hanging="360"/>
      </w:pPr>
      <w:rPr>
        <w:rFonts w:ascii="Symbol" w:hAnsi="Symbol" w:hint="default"/>
      </w:rPr>
    </w:lvl>
    <w:lvl w:ilvl="4" w:tplc="04250003" w:tentative="1">
      <w:start w:val="1"/>
      <w:numFmt w:val="bullet"/>
      <w:lvlText w:val="o"/>
      <w:lvlJc w:val="left"/>
      <w:pPr>
        <w:ind w:left="3625" w:hanging="360"/>
      </w:pPr>
      <w:rPr>
        <w:rFonts w:ascii="Courier New" w:hAnsi="Courier New" w:cs="Courier New" w:hint="default"/>
      </w:rPr>
    </w:lvl>
    <w:lvl w:ilvl="5" w:tplc="04250005" w:tentative="1">
      <w:start w:val="1"/>
      <w:numFmt w:val="bullet"/>
      <w:lvlText w:val=""/>
      <w:lvlJc w:val="left"/>
      <w:pPr>
        <w:ind w:left="4345" w:hanging="360"/>
      </w:pPr>
      <w:rPr>
        <w:rFonts w:ascii="Wingdings" w:hAnsi="Wingdings" w:hint="default"/>
      </w:rPr>
    </w:lvl>
    <w:lvl w:ilvl="6" w:tplc="04250001" w:tentative="1">
      <w:start w:val="1"/>
      <w:numFmt w:val="bullet"/>
      <w:lvlText w:val=""/>
      <w:lvlJc w:val="left"/>
      <w:pPr>
        <w:ind w:left="5065" w:hanging="360"/>
      </w:pPr>
      <w:rPr>
        <w:rFonts w:ascii="Symbol" w:hAnsi="Symbol" w:hint="default"/>
      </w:rPr>
    </w:lvl>
    <w:lvl w:ilvl="7" w:tplc="04250003" w:tentative="1">
      <w:start w:val="1"/>
      <w:numFmt w:val="bullet"/>
      <w:lvlText w:val="o"/>
      <w:lvlJc w:val="left"/>
      <w:pPr>
        <w:ind w:left="5785" w:hanging="360"/>
      </w:pPr>
      <w:rPr>
        <w:rFonts w:ascii="Courier New" w:hAnsi="Courier New" w:cs="Courier New" w:hint="default"/>
      </w:rPr>
    </w:lvl>
    <w:lvl w:ilvl="8" w:tplc="04250005" w:tentative="1">
      <w:start w:val="1"/>
      <w:numFmt w:val="bullet"/>
      <w:lvlText w:val=""/>
      <w:lvlJc w:val="left"/>
      <w:pPr>
        <w:ind w:left="6505" w:hanging="360"/>
      </w:pPr>
      <w:rPr>
        <w:rFonts w:ascii="Wingdings" w:hAnsi="Wingdings" w:hint="default"/>
      </w:rPr>
    </w:lvl>
  </w:abstractNum>
  <w:abstractNum w:abstractNumId="7" w15:restartNumberingAfterBreak="0">
    <w:nsid w:val="720D3B24"/>
    <w:multiLevelType w:val="hybridMultilevel"/>
    <w:tmpl w:val="08BED200"/>
    <w:lvl w:ilvl="0" w:tplc="5718AD2C">
      <w:start w:val="1"/>
      <w:numFmt w:val="bullet"/>
      <w:lvlText w:val=""/>
      <w:lvlJc w:val="left"/>
      <w:pPr>
        <w:ind w:left="720" w:hanging="360"/>
      </w:pPr>
      <w:rPr>
        <w:rFonts w:ascii="Wingdings" w:hAnsi="Wingdings" w:hint="default"/>
        <w:color w:val="007360"/>
        <w:sz w:val="26"/>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929489">
    <w:abstractNumId w:val="7"/>
  </w:num>
  <w:num w:numId="2" w16cid:durableId="21444173">
    <w:abstractNumId w:val="6"/>
  </w:num>
  <w:num w:numId="3" w16cid:durableId="1785151304">
    <w:abstractNumId w:val="5"/>
  </w:num>
  <w:num w:numId="4" w16cid:durableId="1520200718">
    <w:abstractNumId w:val="3"/>
  </w:num>
  <w:num w:numId="5" w16cid:durableId="887381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0398440">
    <w:abstractNumId w:val="4"/>
  </w:num>
  <w:num w:numId="7" w16cid:durableId="604002499">
    <w:abstractNumId w:val="0"/>
  </w:num>
  <w:num w:numId="8" w16cid:durableId="786776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A4"/>
    <w:rsid w:val="00000700"/>
    <w:rsid w:val="00001847"/>
    <w:rsid w:val="000057BA"/>
    <w:rsid w:val="00005947"/>
    <w:rsid w:val="00005CB0"/>
    <w:rsid w:val="00006FD8"/>
    <w:rsid w:val="0001262D"/>
    <w:rsid w:val="00013619"/>
    <w:rsid w:val="000140E4"/>
    <w:rsid w:val="0001522B"/>
    <w:rsid w:val="0001752A"/>
    <w:rsid w:val="00023839"/>
    <w:rsid w:val="00027525"/>
    <w:rsid w:val="00030DFD"/>
    <w:rsid w:val="00033D92"/>
    <w:rsid w:val="00036705"/>
    <w:rsid w:val="00037E45"/>
    <w:rsid w:val="00040695"/>
    <w:rsid w:val="00044298"/>
    <w:rsid w:val="000456F3"/>
    <w:rsid w:val="000507F5"/>
    <w:rsid w:val="00052E48"/>
    <w:rsid w:val="00054303"/>
    <w:rsid w:val="00054FCB"/>
    <w:rsid w:val="00062402"/>
    <w:rsid w:val="00066C2F"/>
    <w:rsid w:val="00067153"/>
    <w:rsid w:val="000677D5"/>
    <w:rsid w:val="0007195F"/>
    <w:rsid w:val="000753CE"/>
    <w:rsid w:val="00076C3F"/>
    <w:rsid w:val="00080CB0"/>
    <w:rsid w:val="00083373"/>
    <w:rsid w:val="00083516"/>
    <w:rsid w:val="00084293"/>
    <w:rsid w:val="0008583B"/>
    <w:rsid w:val="00085DA2"/>
    <w:rsid w:val="000870B9"/>
    <w:rsid w:val="00087A96"/>
    <w:rsid w:val="00091AE7"/>
    <w:rsid w:val="00095321"/>
    <w:rsid w:val="000B0574"/>
    <w:rsid w:val="000B0B56"/>
    <w:rsid w:val="000B2EED"/>
    <w:rsid w:val="000B3955"/>
    <w:rsid w:val="000B412C"/>
    <w:rsid w:val="000B508F"/>
    <w:rsid w:val="000C2CBB"/>
    <w:rsid w:val="000C5C19"/>
    <w:rsid w:val="000C71F5"/>
    <w:rsid w:val="000D43BA"/>
    <w:rsid w:val="000D4CB6"/>
    <w:rsid w:val="000D6A14"/>
    <w:rsid w:val="000E162B"/>
    <w:rsid w:val="000E58B8"/>
    <w:rsid w:val="000E5C26"/>
    <w:rsid w:val="000E5D6C"/>
    <w:rsid w:val="000E679A"/>
    <w:rsid w:val="000E6A5E"/>
    <w:rsid w:val="000F1774"/>
    <w:rsid w:val="000F321F"/>
    <w:rsid w:val="000F3ECB"/>
    <w:rsid w:val="000F56CA"/>
    <w:rsid w:val="000F7511"/>
    <w:rsid w:val="0010086B"/>
    <w:rsid w:val="00110D6C"/>
    <w:rsid w:val="00113C31"/>
    <w:rsid w:val="0011456C"/>
    <w:rsid w:val="00122722"/>
    <w:rsid w:val="0012535B"/>
    <w:rsid w:val="00125388"/>
    <w:rsid w:val="00127201"/>
    <w:rsid w:val="00127E0A"/>
    <w:rsid w:val="00132BB9"/>
    <w:rsid w:val="00133CC1"/>
    <w:rsid w:val="00134D08"/>
    <w:rsid w:val="0013728D"/>
    <w:rsid w:val="001376F1"/>
    <w:rsid w:val="001404DE"/>
    <w:rsid w:val="0014114D"/>
    <w:rsid w:val="0014228F"/>
    <w:rsid w:val="001435ED"/>
    <w:rsid w:val="00143E14"/>
    <w:rsid w:val="00144482"/>
    <w:rsid w:val="001454B6"/>
    <w:rsid w:val="00146CD9"/>
    <w:rsid w:val="00150DA3"/>
    <w:rsid w:val="00153C15"/>
    <w:rsid w:val="00155D17"/>
    <w:rsid w:val="00156847"/>
    <w:rsid w:val="00160651"/>
    <w:rsid w:val="00161490"/>
    <w:rsid w:val="00162D53"/>
    <w:rsid w:val="00171D1B"/>
    <w:rsid w:val="00176269"/>
    <w:rsid w:val="00176CC8"/>
    <w:rsid w:val="00186E76"/>
    <w:rsid w:val="00186E8C"/>
    <w:rsid w:val="0019237B"/>
    <w:rsid w:val="00192449"/>
    <w:rsid w:val="001A550B"/>
    <w:rsid w:val="001B379F"/>
    <w:rsid w:val="001C17E3"/>
    <w:rsid w:val="001C18B3"/>
    <w:rsid w:val="001C36F0"/>
    <w:rsid w:val="001C413D"/>
    <w:rsid w:val="001C5847"/>
    <w:rsid w:val="001C7CFC"/>
    <w:rsid w:val="001D47B5"/>
    <w:rsid w:val="001D4FA7"/>
    <w:rsid w:val="001D6496"/>
    <w:rsid w:val="001E2D7E"/>
    <w:rsid w:val="001E3B9D"/>
    <w:rsid w:val="001E5488"/>
    <w:rsid w:val="001E661B"/>
    <w:rsid w:val="001E6C11"/>
    <w:rsid w:val="001E7B2D"/>
    <w:rsid w:val="001F7340"/>
    <w:rsid w:val="002012C9"/>
    <w:rsid w:val="0020143F"/>
    <w:rsid w:val="00203D22"/>
    <w:rsid w:val="002117DA"/>
    <w:rsid w:val="00213176"/>
    <w:rsid w:val="00213402"/>
    <w:rsid w:val="002210E6"/>
    <w:rsid w:val="002238C3"/>
    <w:rsid w:val="00225BE6"/>
    <w:rsid w:val="00235CD2"/>
    <w:rsid w:val="00236275"/>
    <w:rsid w:val="002372A5"/>
    <w:rsid w:val="00242C65"/>
    <w:rsid w:val="00246448"/>
    <w:rsid w:val="00246730"/>
    <w:rsid w:val="00254F49"/>
    <w:rsid w:val="002551D3"/>
    <w:rsid w:val="002634F1"/>
    <w:rsid w:val="00264218"/>
    <w:rsid w:val="00266456"/>
    <w:rsid w:val="002664F3"/>
    <w:rsid w:val="00266841"/>
    <w:rsid w:val="00266CE5"/>
    <w:rsid w:val="00267BB6"/>
    <w:rsid w:val="00271DCB"/>
    <w:rsid w:val="00276B12"/>
    <w:rsid w:val="00280F44"/>
    <w:rsid w:val="00284A9A"/>
    <w:rsid w:val="00294CBF"/>
    <w:rsid w:val="00297714"/>
    <w:rsid w:val="00297F09"/>
    <w:rsid w:val="002A04BD"/>
    <w:rsid w:val="002A0668"/>
    <w:rsid w:val="002A1637"/>
    <w:rsid w:val="002B186C"/>
    <w:rsid w:val="002B700A"/>
    <w:rsid w:val="002C32F8"/>
    <w:rsid w:val="002C3DA9"/>
    <w:rsid w:val="002C72DA"/>
    <w:rsid w:val="002C7C71"/>
    <w:rsid w:val="002D488A"/>
    <w:rsid w:val="002D5580"/>
    <w:rsid w:val="002D70B5"/>
    <w:rsid w:val="002D7ED2"/>
    <w:rsid w:val="002E094C"/>
    <w:rsid w:val="002E31A4"/>
    <w:rsid w:val="002E355B"/>
    <w:rsid w:val="002E49DD"/>
    <w:rsid w:val="002E7A0C"/>
    <w:rsid w:val="002F3560"/>
    <w:rsid w:val="002F3FC0"/>
    <w:rsid w:val="002F67B5"/>
    <w:rsid w:val="002F7151"/>
    <w:rsid w:val="002F7A73"/>
    <w:rsid w:val="003000A7"/>
    <w:rsid w:val="00301C07"/>
    <w:rsid w:val="00306176"/>
    <w:rsid w:val="00306E90"/>
    <w:rsid w:val="00307C3A"/>
    <w:rsid w:val="00307EE3"/>
    <w:rsid w:val="00310039"/>
    <w:rsid w:val="00311B03"/>
    <w:rsid w:val="00313435"/>
    <w:rsid w:val="00317008"/>
    <w:rsid w:val="00321358"/>
    <w:rsid w:val="00322D11"/>
    <w:rsid w:val="00327416"/>
    <w:rsid w:val="00327E56"/>
    <w:rsid w:val="00331A80"/>
    <w:rsid w:val="00331B7B"/>
    <w:rsid w:val="00331FA0"/>
    <w:rsid w:val="00333095"/>
    <w:rsid w:val="00336178"/>
    <w:rsid w:val="00336ABD"/>
    <w:rsid w:val="003372DB"/>
    <w:rsid w:val="00337C55"/>
    <w:rsid w:val="00340164"/>
    <w:rsid w:val="0034036A"/>
    <w:rsid w:val="00340F4C"/>
    <w:rsid w:val="00342CC4"/>
    <w:rsid w:val="00342CC7"/>
    <w:rsid w:val="003438F6"/>
    <w:rsid w:val="00343B7B"/>
    <w:rsid w:val="00344D70"/>
    <w:rsid w:val="00345D5B"/>
    <w:rsid w:val="0034601C"/>
    <w:rsid w:val="00347BDA"/>
    <w:rsid w:val="003517D1"/>
    <w:rsid w:val="00354A4F"/>
    <w:rsid w:val="00361445"/>
    <w:rsid w:val="003614DA"/>
    <w:rsid w:val="0036735B"/>
    <w:rsid w:val="00372902"/>
    <w:rsid w:val="003753C2"/>
    <w:rsid w:val="003772EB"/>
    <w:rsid w:val="0039135C"/>
    <w:rsid w:val="00391BDE"/>
    <w:rsid w:val="00395EB7"/>
    <w:rsid w:val="003A464E"/>
    <w:rsid w:val="003A4982"/>
    <w:rsid w:val="003A5BC3"/>
    <w:rsid w:val="003A6B35"/>
    <w:rsid w:val="003B0039"/>
    <w:rsid w:val="003B0B44"/>
    <w:rsid w:val="003B5CC6"/>
    <w:rsid w:val="003B6315"/>
    <w:rsid w:val="003C3CA0"/>
    <w:rsid w:val="003C70BE"/>
    <w:rsid w:val="003D0E94"/>
    <w:rsid w:val="003D2673"/>
    <w:rsid w:val="003D450B"/>
    <w:rsid w:val="003D754A"/>
    <w:rsid w:val="003E14E3"/>
    <w:rsid w:val="003E37B9"/>
    <w:rsid w:val="003E7817"/>
    <w:rsid w:val="003F2A50"/>
    <w:rsid w:val="003F372F"/>
    <w:rsid w:val="003F396A"/>
    <w:rsid w:val="004000C8"/>
    <w:rsid w:val="004032FA"/>
    <w:rsid w:val="004037C9"/>
    <w:rsid w:val="0040406C"/>
    <w:rsid w:val="004041B5"/>
    <w:rsid w:val="00405920"/>
    <w:rsid w:val="004061E2"/>
    <w:rsid w:val="0041262E"/>
    <w:rsid w:val="0042043A"/>
    <w:rsid w:val="00420E81"/>
    <w:rsid w:val="00424F15"/>
    <w:rsid w:val="004260FE"/>
    <w:rsid w:val="0042681A"/>
    <w:rsid w:val="00430769"/>
    <w:rsid w:val="00430F5B"/>
    <w:rsid w:val="0043224A"/>
    <w:rsid w:val="004361E8"/>
    <w:rsid w:val="0043734D"/>
    <w:rsid w:val="00437CB0"/>
    <w:rsid w:val="0044057C"/>
    <w:rsid w:val="00442901"/>
    <w:rsid w:val="0044470A"/>
    <w:rsid w:val="00446553"/>
    <w:rsid w:val="004525E4"/>
    <w:rsid w:val="0045755E"/>
    <w:rsid w:val="0045778C"/>
    <w:rsid w:val="00460F25"/>
    <w:rsid w:val="00461711"/>
    <w:rsid w:val="00462C40"/>
    <w:rsid w:val="00472B3B"/>
    <w:rsid w:val="004761C4"/>
    <w:rsid w:val="0047792F"/>
    <w:rsid w:val="00477A47"/>
    <w:rsid w:val="0048392A"/>
    <w:rsid w:val="00491ADE"/>
    <w:rsid w:val="0049705D"/>
    <w:rsid w:val="00497913"/>
    <w:rsid w:val="004A1A76"/>
    <w:rsid w:val="004A3467"/>
    <w:rsid w:val="004A5215"/>
    <w:rsid w:val="004A5F6C"/>
    <w:rsid w:val="004A65A5"/>
    <w:rsid w:val="004A68C9"/>
    <w:rsid w:val="004B20A1"/>
    <w:rsid w:val="004B46A1"/>
    <w:rsid w:val="004B55FB"/>
    <w:rsid w:val="004B6BBF"/>
    <w:rsid w:val="004B7CDC"/>
    <w:rsid w:val="004C062C"/>
    <w:rsid w:val="004C1B7B"/>
    <w:rsid w:val="004C3158"/>
    <w:rsid w:val="004C3EC8"/>
    <w:rsid w:val="004D044A"/>
    <w:rsid w:val="004D3BE3"/>
    <w:rsid w:val="004E0D30"/>
    <w:rsid w:val="004E29C3"/>
    <w:rsid w:val="004E40AD"/>
    <w:rsid w:val="004E76B1"/>
    <w:rsid w:val="004F1667"/>
    <w:rsid w:val="004F1FFA"/>
    <w:rsid w:val="004F292D"/>
    <w:rsid w:val="00504A4F"/>
    <w:rsid w:val="0050596F"/>
    <w:rsid w:val="00506C30"/>
    <w:rsid w:val="0051021E"/>
    <w:rsid w:val="005143DA"/>
    <w:rsid w:val="00521043"/>
    <w:rsid w:val="0052140A"/>
    <w:rsid w:val="00522491"/>
    <w:rsid w:val="005260DF"/>
    <w:rsid w:val="005323E0"/>
    <w:rsid w:val="00532BF8"/>
    <w:rsid w:val="00535050"/>
    <w:rsid w:val="00537171"/>
    <w:rsid w:val="00540D94"/>
    <w:rsid w:val="00543530"/>
    <w:rsid w:val="00551C11"/>
    <w:rsid w:val="0055354D"/>
    <w:rsid w:val="0055363B"/>
    <w:rsid w:val="005557F9"/>
    <w:rsid w:val="005602F1"/>
    <w:rsid w:val="00561605"/>
    <w:rsid w:val="00563411"/>
    <w:rsid w:val="005711FF"/>
    <w:rsid w:val="00576A61"/>
    <w:rsid w:val="00581132"/>
    <w:rsid w:val="00582B78"/>
    <w:rsid w:val="00582F79"/>
    <w:rsid w:val="0058349F"/>
    <w:rsid w:val="00584440"/>
    <w:rsid w:val="00585C0C"/>
    <w:rsid w:val="00587341"/>
    <w:rsid w:val="00594F56"/>
    <w:rsid w:val="005A0255"/>
    <w:rsid w:val="005A1D83"/>
    <w:rsid w:val="005A41B9"/>
    <w:rsid w:val="005A4C84"/>
    <w:rsid w:val="005A4DA5"/>
    <w:rsid w:val="005B1564"/>
    <w:rsid w:val="005B1F6D"/>
    <w:rsid w:val="005B2D79"/>
    <w:rsid w:val="005B64DE"/>
    <w:rsid w:val="005B795B"/>
    <w:rsid w:val="005C11D1"/>
    <w:rsid w:val="005C2057"/>
    <w:rsid w:val="005C390D"/>
    <w:rsid w:val="005C3EB2"/>
    <w:rsid w:val="005C49AB"/>
    <w:rsid w:val="005C63AE"/>
    <w:rsid w:val="005D3A47"/>
    <w:rsid w:val="005D40A3"/>
    <w:rsid w:val="005D52CC"/>
    <w:rsid w:val="005D6151"/>
    <w:rsid w:val="005D6F8B"/>
    <w:rsid w:val="005E2EF1"/>
    <w:rsid w:val="005E3342"/>
    <w:rsid w:val="005E5CE4"/>
    <w:rsid w:val="005E75E7"/>
    <w:rsid w:val="005E7F5C"/>
    <w:rsid w:val="005F5DBC"/>
    <w:rsid w:val="005F640D"/>
    <w:rsid w:val="005F66BB"/>
    <w:rsid w:val="00601D72"/>
    <w:rsid w:val="006064B3"/>
    <w:rsid w:val="00607A36"/>
    <w:rsid w:val="00611C06"/>
    <w:rsid w:val="006138DC"/>
    <w:rsid w:val="0061581C"/>
    <w:rsid w:val="00615E7B"/>
    <w:rsid w:val="00616610"/>
    <w:rsid w:val="00617A40"/>
    <w:rsid w:val="0062111E"/>
    <w:rsid w:val="00621DC1"/>
    <w:rsid w:val="00622A5E"/>
    <w:rsid w:val="00623DB0"/>
    <w:rsid w:val="00626610"/>
    <w:rsid w:val="0063257D"/>
    <w:rsid w:val="00636159"/>
    <w:rsid w:val="006449D8"/>
    <w:rsid w:val="006477D2"/>
    <w:rsid w:val="00647C3D"/>
    <w:rsid w:val="00654AAE"/>
    <w:rsid w:val="00657DAA"/>
    <w:rsid w:val="00663A03"/>
    <w:rsid w:val="006704CC"/>
    <w:rsid w:val="0067180B"/>
    <w:rsid w:val="00677049"/>
    <w:rsid w:val="00677C83"/>
    <w:rsid w:val="00680AC7"/>
    <w:rsid w:val="006817B5"/>
    <w:rsid w:val="0068387D"/>
    <w:rsid w:val="00685C06"/>
    <w:rsid w:val="00692D7E"/>
    <w:rsid w:val="00693666"/>
    <w:rsid w:val="006948D8"/>
    <w:rsid w:val="00694B80"/>
    <w:rsid w:val="00695690"/>
    <w:rsid w:val="006975E7"/>
    <w:rsid w:val="006A3FAB"/>
    <w:rsid w:val="006A46CA"/>
    <w:rsid w:val="006A6C21"/>
    <w:rsid w:val="006B2145"/>
    <w:rsid w:val="006B2654"/>
    <w:rsid w:val="006BDD20"/>
    <w:rsid w:val="006C1474"/>
    <w:rsid w:val="006C4942"/>
    <w:rsid w:val="006C6F1C"/>
    <w:rsid w:val="006D078C"/>
    <w:rsid w:val="006D57EA"/>
    <w:rsid w:val="006D5C20"/>
    <w:rsid w:val="006E071F"/>
    <w:rsid w:val="006E1FB5"/>
    <w:rsid w:val="006E2C6D"/>
    <w:rsid w:val="006E3CA7"/>
    <w:rsid w:val="006E4F54"/>
    <w:rsid w:val="006E5B89"/>
    <w:rsid w:val="006F4127"/>
    <w:rsid w:val="006F4B8E"/>
    <w:rsid w:val="006F4C43"/>
    <w:rsid w:val="006F71F6"/>
    <w:rsid w:val="00701180"/>
    <w:rsid w:val="0070484E"/>
    <w:rsid w:val="007139D6"/>
    <w:rsid w:val="00714C6A"/>
    <w:rsid w:val="00715ED8"/>
    <w:rsid w:val="00722081"/>
    <w:rsid w:val="00731249"/>
    <w:rsid w:val="0073151E"/>
    <w:rsid w:val="00732DCA"/>
    <w:rsid w:val="007352D0"/>
    <w:rsid w:val="00736DDA"/>
    <w:rsid w:val="00741809"/>
    <w:rsid w:val="00744553"/>
    <w:rsid w:val="0074496C"/>
    <w:rsid w:val="0074497C"/>
    <w:rsid w:val="00744EF4"/>
    <w:rsid w:val="007474ED"/>
    <w:rsid w:val="007475E9"/>
    <w:rsid w:val="0075599B"/>
    <w:rsid w:val="00756D91"/>
    <w:rsid w:val="0075766A"/>
    <w:rsid w:val="00757F8B"/>
    <w:rsid w:val="0076089D"/>
    <w:rsid w:val="00761C11"/>
    <w:rsid w:val="00767AE6"/>
    <w:rsid w:val="00767AEC"/>
    <w:rsid w:val="007724B5"/>
    <w:rsid w:val="0077768D"/>
    <w:rsid w:val="00783BE5"/>
    <w:rsid w:val="00784F54"/>
    <w:rsid w:val="00787C38"/>
    <w:rsid w:val="007922B1"/>
    <w:rsid w:val="00792D30"/>
    <w:rsid w:val="007968F3"/>
    <w:rsid w:val="007A2A0C"/>
    <w:rsid w:val="007A323F"/>
    <w:rsid w:val="007A73D6"/>
    <w:rsid w:val="007B4655"/>
    <w:rsid w:val="007C2025"/>
    <w:rsid w:val="007C3B93"/>
    <w:rsid w:val="007C6D9E"/>
    <w:rsid w:val="007C7569"/>
    <w:rsid w:val="007C7614"/>
    <w:rsid w:val="007D054F"/>
    <w:rsid w:val="007D0619"/>
    <w:rsid w:val="007D2E2F"/>
    <w:rsid w:val="007E001C"/>
    <w:rsid w:val="007E4C34"/>
    <w:rsid w:val="007E5EF0"/>
    <w:rsid w:val="007F1355"/>
    <w:rsid w:val="007F3B07"/>
    <w:rsid w:val="007F4574"/>
    <w:rsid w:val="007F6320"/>
    <w:rsid w:val="00800EA9"/>
    <w:rsid w:val="0081081F"/>
    <w:rsid w:val="008117D4"/>
    <w:rsid w:val="00813D1B"/>
    <w:rsid w:val="00815228"/>
    <w:rsid w:val="00816DAA"/>
    <w:rsid w:val="00817942"/>
    <w:rsid w:val="00820815"/>
    <w:rsid w:val="0082500C"/>
    <w:rsid w:val="00826BD6"/>
    <w:rsid w:val="008279AA"/>
    <w:rsid w:val="008327BC"/>
    <w:rsid w:val="0083407D"/>
    <w:rsid w:val="0084106B"/>
    <w:rsid w:val="00841E11"/>
    <w:rsid w:val="0084379C"/>
    <w:rsid w:val="00851531"/>
    <w:rsid w:val="00853446"/>
    <w:rsid w:val="008558A0"/>
    <w:rsid w:val="0085744F"/>
    <w:rsid w:val="00860304"/>
    <w:rsid w:val="008618F8"/>
    <w:rsid w:val="00861C53"/>
    <w:rsid w:val="008648D9"/>
    <w:rsid w:val="008705F2"/>
    <w:rsid w:val="008719A9"/>
    <w:rsid w:val="00871D94"/>
    <w:rsid w:val="0087652B"/>
    <w:rsid w:val="008801CE"/>
    <w:rsid w:val="00880355"/>
    <w:rsid w:val="00884255"/>
    <w:rsid w:val="00886370"/>
    <w:rsid w:val="00886549"/>
    <w:rsid w:val="00891D9E"/>
    <w:rsid w:val="00894DDD"/>
    <w:rsid w:val="00894DFB"/>
    <w:rsid w:val="00895947"/>
    <w:rsid w:val="008A04BA"/>
    <w:rsid w:val="008A07C4"/>
    <w:rsid w:val="008A4FD3"/>
    <w:rsid w:val="008A6668"/>
    <w:rsid w:val="008B0896"/>
    <w:rsid w:val="008B4027"/>
    <w:rsid w:val="008C1544"/>
    <w:rsid w:val="008C4E81"/>
    <w:rsid w:val="008C5BB3"/>
    <w:rsid w:val="008D2265"/>
    <w:rsid w:val="008D29FF"/>
    <w:rsid w:val="008E1495"/>
    <w:rsid w:val="008E62EB"/>
    <w:rsid w:val="008E6376"/>
    <w:rsid w:val="008F73EA"/>
    <w:rsid w:val="008F7545"/>
    <w:rsid w:val="008F787E"/>
    <w:rsid w:val="008F7A97"/>
    <w:rsid w:val="009038CE"/>
    <w:rsid w:val="00903E94"/>
    <w:rsid w:val="0090586B"/>
    <w:rsid w:val="00906A5E"/>
    <w:rsid w:val="009137CC"/>
    <w:rsid w:val="00913FB4"/>
    <w:rsid w:val="00916BA4"/>
    <w:rsid w:val="00916D78"/>
    <w:rsid w:val="00916DB0"/>
    <w:rsid w:val="00920E98"/>
    <w:rsid w:val="009214C4"/>
    <w:rsid w:val="0092332B"/>
    <w:rsid w:val="00924B71"/>
    <w:rsid w:val="0093232F"/>
    <w:rsid w:val="009349FA"/>
    <w:rsid w:val="00943C1E"/>
    <w:rsid w:val="0094593F"/>
    <w:rsid w:val="00960645"/>
    <w:rsid w:val="0096239C"/>
    <w:rsid w:val="00963EF6"/>
    <w:rsid w:val="009647D3"/>
    <w:rsid w:val="00964F86"/>
    <w:rsid w:val="009656CF"/>
    <w:rsid w:val="009704E0"/>
    <w:rsid w:val="009714EF"/>
    <w:rsid w:val="00972DCD"/>
    <w:rsid w:val="0098049A"/>
    <w:rsid w:val="00980FBA"/>
    <w:rsid w:val="0098101F"/>
    <w:rsid w:val="00983DDE"/>
    <w:rsid w:val="009867AD"/>
    <w:rsid w:val="00987EFC"/>
    <w:rsid w:val="009921C2"/>
    <w:rsid w:val="00995279"/>
    <w:rsid w:val="009A01B4"/>
    <w:rsid w:val="009A0FD4"/>
    <w:rsid w:val="009A29CB"/>
    <w:rsid w:val="009A2C2D"/>
    <w:rsid w:val="009A4C9C"/>
    <w:rsid w:val="009A5D4E"/>
    <w:rsid w:val="009A6CA7"/>
    <w:rsid w:val="009A6EAC"/>
    <w:rsid w:val="009A748C"/>
    <w:rsid w:val="009B31E1"/>
    <w:rsid w:val="009B34DB"/>
    <w:rsid w:val="009B46C6"/>
    <w:rsid w:val="009B4A90"/>
    <w:rsid w:val="009C0A4D"/>
    <w:rsid w:val="009C388C"/>
    <w:rsid w:val="009C51F6"/>
    <w:rsid w:val="009C5A71"/>
    <w:rsid w:val="009C6392"/>
    <w:rsid w:val="009C70ED"/>
    <w:rsid w:val="009D405D"/>
    <w:rsid w:val="009E2AE1"/>
    <w:rsid w:val="009E330F"/>
    <w:rsid w:val="009F155D"/>
    <w:rsid w:val="009F64E7"/>
    <w:rsid w:val="009F6F96"/>
    <w:rsid w:val="00A02A2E"/>
    <w:rsid w:val="00A05A1C"/>
    <w:rsid w:val="00A10227"/>
    <w:rsid w:val="00A13410"/>
    <w:rsid w:val="00A13E64"/>
    <w:rsid w:val="00A14933"/>
    <w:rsid w:val="00A15FF4"/>
    <w:rsid w:val="00A1698B"/>
    <w:rsid w:val="00A16E53"/>
    <w:rsid w:val="00A258A9"/>
    <w:rsid w:val="00A33ED2"/>
    <w:rsid w:val="00A34663"/>
    <w:rsid w:val="00A34EBF"/>
    <w:rsid w:val="00A35109"/>
    <w:rsid w:val="00A41D62"/>
    <w:rsid w:val="00A4651B"/>
    <w:rsid w:val="00A47040"/>
    <w:rsid w:val="00A504FC"/>
    <w:rsid w:val="00A51A8D"/>
    <w:rsid w:val="00A53CE6"/>
    <w:rsid w:val="00A54A92"/>
    <w:rsid w:val="00A57156"/>
    <w:rsid w:val="00A626C2"/>
    <w:rsid w:val="00A6607D"/>
    <w:rsid w:val="00A70674"/>
    <w:rsid w:val="00A70A6A"/>
    <w:rsid w:val="00A7111F"/>
    <w:rsid w:val="00A7270D"/>
    <w:rsid w:val="00A72ADE"/>
    <w:rsid w:val="00A73E08"/>
    <w:rsid w:val="00A81768"/>
    <w:rsid w:val="00A8268D"/>
    <w:rsid w:val="00A83101"/>
    <w:rsid w:val="00A84811"/>
    <w:rsid w:val="00A871DF"/>
    <w:rsid w:val="00A93CF6"/>
    <w:rsid w:val="00A9488F"/>
    <w:rsid w:val="00AA1D0E"/>
    <w:rsid w:val="00AA3159"/>
    <w:rsid w:val="00AA4D26"/>
    <w:rsid w:val="00AA6CD2"/>
    <w:rsid w:val="00AA7904"/>
    <w:rsid w:val="00AB18F9"/>
    <w:rsid w:val="00AB275A"/>
    <w:rsid w:val="00AB4942"/>
    <w:rsid w:val="00AB6613"/>
    <w:rsid w:val="00AC5089"/>
    <w:rsid w:val="00AC7D8F"/>
    <w:rsid w:val="00AD2F7E"/>
    <w:rsid w:val="00AD37FB"/>
    <w:rsid w:val="00AD3BF9"/>
    <w:rsid w:val="00AD3C43"/>
    <w:rsid w:val="00AD52F6"/>
    <w:rsid w:val="00AD6049"/>
    <w:rsid w:val="00AD771E"/>
    <w:rsid w:val="00AE0070"/>
    <w:rsid w:val="00AE32B5"/>
    <w:rsid w:val="00AE3DB3"/>
    <w:rsid w:val="00AF1C30"/>
    <w:rsid w:val="00AF2FA1"/>
    <w:rsid w:val="00AF3B11"/>
    <w:rsid w:val="00AF4EC0"/>
    <w:rsid w:val="00AF66B6"/>
    <w:rsid w:val="00AF66F4"/>
    <w:rsid w:val="00B01B0B"/>
    <w:rsid w:val="00B0541A"/>
    <w:rsid w:val="00B07A8D"/>
    <w:rsid w:val="00B12328"/>
    <w:rsid w:val="00B17396"/>
    <w:rsid w:val="00B241EF"/>
    <w:rsid w:val="00B26EAD"/>
    <w:rsid w:val="00B30549"/>
    <w:rsid w:val="00B3126B"/>
    <w:rsid w:val="00B36B12"/>
    <w:rsid w:val="00B37750"/>
    <w:rsid w:val="00B43002"/>
    <w:rsid w:val="00B4444E"/>
    <w:rsid w:val="00B454A6"/>
    <w:rsid w:val="00B458CB"/>
    <w:rsid w:val="00B46255"/>
    <w:rsid w:val="00B47A89"/>
    <w:rsid w:val="00B50F86"/>
    <w:rsid w:val="00B567DB"/>
    <w:rsid w:val="00B60777"/>
    <w:rsid w:val="00B609F0"/>
    <w:rsid w:val="00B61018"/>
    <w:rsid w:val="00B61D2B"/>
    <w:rsid w:val="00B6315D"/>
    <w:rsid w:val="00B6541C"/>
    <w:rsid w:val="00B666C8"/>
    <w:rsid w:val="00B7031D"/>
    <w:rsid w:val="00B70866"/>
    <w:rsid w:val="00B7448C"/>
    <w:rsid w:val="00B76C5B"/>
    <w:rsid w:val="00B80B2C"/>
    <w:rsid w:val="00B82D8A"/>
    <w:rsid w:val="00B84150"/>
    <w:rsid w:val="00B87F3D"/>
    <w:rsid w:val="00B87FBB"/>
    <w:rsid w:val="00B91CE4"/>
    <w:rsid w:val="00B94412"/>
    <w:rsid w:val="00B95EC4"/>
    <w:rsid w:val="00BA26D1"/>
    <w:rsid w:val="00BA3553"/>
    <w:rsid w:val="00BA4B7E"/>
    <w:rsid w:val="00BA6DF6"/>
    <w:rsid w:val="00BA7440"/>
    <w:rsid w:val="00BB0E52"/>
    <w:rsid w:val="00BB3BAC"/>
    <w:rsid w:val="00BB6A96"/>
    <w:rsid w:val="00BC09AA"/>
    <w:rsid w:val="00BC10B9"/>
    <w:rsid w:val="00BC28AB"/>
    <w:rsid w:val="00BD21FF"/>
    <w:rsid w:val="00BE225D"/>
    <w:rsid w:val="00BE50B5"/>
    <w:rsid w:val="00BE7359"/>
    <w:rsid w:val="00BE7698"/>
    <w:rsid w:val="00BF0B4C"/>
    <w:rsid w:val="00BF7858"/>
    <w:rsid w:val="00C01333"/>
    <w:rsid w:val="00C02AE2"/>
    <w:rsid w:val="00C07790"/>
    <w:rsid w:val="00C07AFE"/>
    <w:rsid w:val="00C143B5"/>
    <w:rsid w:val="00C1450A"/>
    <w:rsid w:val="00C15270"/>
    <w:rsid w:val="00C15EAA"/>
    <w:rsid w:val="00C178D0"/>
    <w:rsid w:val="00C20602"/>
    <w:rsid w:val="00C20938"/>
    <w:rsid w:val="00C227EF"/>
    <w:rsid w:val="00C23C71"/>
    <w:rsid w:val="00C307F8"/>
    <w:rsid w:val="00C30A79"/>
    <w:rsid w:val="00C32DEC"/>
    <w:rsid w:val="00C343E4"/>
    <w:rsid w:val="00C3517D"/>
    <w:rsid w:val="00C37943"/>
    <w:rsid w:val="00C44395"/>
    <w:rsid w:val="00C5278E"/>
    <w:rsid w:val="00C534BB"/>
    <w:rsid w:val="00C563C4"/>
    <w:rsid w:val="00C6010C"/>
    <w:rsid w:val="00C612C5"/>
    <w:rsid w:val="00C63E5A"/>
    <w:rsid w:val="00C64DFA"/>
    <w:rsid w:val="00C64FC6"/>
    <w:rsid w:val="00C678E1"/>
    <w:rsid w:val="00C6791D"/>
    <w:rsid w:val="00C71360"/>
    <w:rsid w:val="00C72AAF"/>
    <w:rsid w:val="00C7489A"/>
    <w:rsid w:val="00C76BE6"/>
    <w:rsid w:val="00C82C58"/>
    <w:rsid w:val="00C84135"/>
    <w:rsid w:val="00C84397"/>
    <w:rsid w:val="00C85037"/>
    <w:rsid w:val="00C85CF5"/>
    <w:rsid w:val="00C86D1C"/>
    <w:rsid w:val="00C9422D"/>
    <w:rsid w:val="00C962A1"/>
    <w:rsid w:val="00CA2783"/>
    <w:rsid w:val="00CA3B6E"/>
    <w:rsid w:val="00CA592B"/>
    <w:rsid w:val="00CB0A66"/>
    <w:rsid w:val="00CB0BDE"/>
    <w:rsid w:val="00CB1268"/>
    <w:rsid w:val="00CB42B3"/>
    <w:rsid w:val="00CB4B69"/>
    <w:rsid w:val="00CB4F91"/>
    <w:rsid w:val="00CB5FDE"/>
    <w:rsid w:val="00CB622E"/>
    <w:rsid w:val="00CD2166"/>
    <w:rsid w:val="00CD3CCF"/>
    <w:rsid w:val="00CE0236"/>
    <w:rsid w:val="00CE2519"/>
    <w:rsid w:val="00CF104E"/>
    <w:rsid w:val="00CF50BF"/>
    <w:rsid w:val="00D00E2C"/>
    <w:rsid w:val="00D01A16"/>
    <w:rsid w:val="00D051E3"/>
    <w:rsid w:val="00D1641A"/>
    <w:rsid w:val="00D214DF"/>
    <w:rsid w:val="00D21E01"/>
    <w:rsid w:val="00D22561"/>
    <w:rsid w:val="00D23ABA"/>
    <w:rsid w:val="00D25000"/>
    <w:rsid w:val="00D254DC"/>
    <w:rsid w:val="00D30190"/>
    <w:rsid w:val="00D31AA7"/>
    <w:rsid w:val="00D34338"/>
    <w:rsid w:val="00D35215"/>
    <w:rsid w:val="00D37471"/>
    <w:rsid w:val="00D414A9"/>
    <w:rsid w:val="00D41B16"/>
    <w:rsid w:val="00D4217C"/>
    <w:rsid w:val="00D4323B"/>
    <w:rsid w:val="00D445E9"/>
    <w:rsid w:val="00D459C0"/>
    <w:rsid w:val="00D518B4"/>
    <w:rsid w:val="00D53072"/>
    <w:rsid w:val="00D54505"/>
    <w:rsid w:val="00D5625E"/>
    <w:rsid w:val="00D577E0"/>
    <w:rsid w:val="00D62648"/>
    <w:rsid w:val="00D63306"/>
    <w:rsid w:val="00D63BCC"/>
    <w:rsid w:val="00D65F77"/>
    <w:rsid w:val="00D67E93"/>
    <w:rsid w:val="00D70D27"/>
    <w:rsid w:val="00D732E5"/>
    <w:rsid w:val="00D73485"/>
    <w:rsid w:val="00D7715D"/>
    <w:rsid w:val="00D81A08"/>
    <w:rsid w:val="00D84E40"/>
    <w:rsid w:val="00D86297"/>
    <w:rsid w:val="00D86C3C"/>
    <w:rsid w:val="00D927F4"/>
    <w:rsid w:val="00D93FA1"/>
    <w:rsid w:val="00DA0DA7"/>
    <w:rsid w:val="00DA2560"/>
    <w:rsid w:val="00DA3FE8"/>
    <w:rsid w:val="00DA43FA"/>
    <w:rsid w:val="00DA55C8"/>
    <w:rsid w:val="00DA6718"/>
    <w:rsid w:val="00DA7348"/>
    <w:rsid w:val="00DB5ACD"/>
    <w:rsid w:val="00DC238C"/>
    <w:rsid w:val="00DC46B3"/>
    <w:rsid w:val="00DC7A63"/>
    <w:rsid w:val="00DD03A2"/>
    <w:rsid w:val="00DD5C3A"/>
    <w:rsid w:val="00DE2252"/>
    <w:rsid w:val="00DE4A5F"/>
    <w:rsid w:val="00DE4AF0"/>
    <w:rsid w:val="00DE5462"/>
    <w:rsid w:val="00DE6711"/>
    <w:rsid w:val="00DF38E4"/>
    <w:rsid w:val="00E00130"/>
    <w:rsid w:val="00E01F63"/>
    <w:rsid w:val="00E07177"/>
    <w:rsid w:val="00E10635"/>
    <w:rsid w:val="00E14358"/>
    <w:rsid w:val="00E14773"/>
    <w:rsid w:val="00E16F5F"/>
    <w:rsid w:val="00E21703"/>
    <w:rsid w:val="00E259B1"/>
    <w:rsid w:val="00E25A90"/>
    <w:rsid w:val="00E25CB1"/>
    <w:rsid w:val="00E260C7"/>
    <w:rsid w:val="00E2614C"/>
    <w:rsid w:val="00E41A77"/>
    <w:rsid w:val="00E47350"/>
    <w:rsid w:val="00E534E9"/>
    <w:rsid w:val="00E53ADF"/>
    <w:rsid w:val="00E53C02"/>
    <w:rsid w:val="00E53C21"/>
    <w:rsid w:val="00E626C4"/>
    <w:rsid w:val="00E62DD4"/>
    <w:rsid w:val="00E6344A"/>
    <w:rsid w:val="00E646C2"/>
    <w:rsid w:val="00E65009"/>
    <w:rsid w:val="00E652F8"/>
    <w:rsid w:val="00E67EF3"/>
    <w:rsid w:val="00E7116C"/>
    <w:rsid w:val="00E71FE1"/>
    <w:rsid w:val="00E72B99"/>
    <w:rsid w:val="00E75C6F"/>
    <w:rsid w:val="00E76CF9"/>
    <w:rsid w:val="00E76E97"/>
    <w:rsid w:val="00E77F12"/>
    <w:rsid w:val="00E80072"/>
    <w:rsid w:val="00E804FB"/>
    <w:rsid w:val="00E80E7E"/>
    <w:rsid w:val="00E831E1"/>
    <w:rsid w:val="00E842E3"/>
    <w:rsid w:val="00E843C8"/>
    <w:rsid w:val="00E95217"/>
    <w:rsid w:val="00EA1DDC"/>
    <w:rsid w:val="00EA2D87"/>
    <w:rsid w:val="00EA328F"/>
    <w:rsid w:val="00EA3373"/>
    <w:rsid w:val="00EA3799"/>
    <w:rsid w:val="00EA5C8A"/>
    <w:rsid w:val="00EA5F3B"/>
    <w:rsid w:val="00EB05DE"/>
    <w:rsid w:val="00EB07A1"/>
    <w:rsid w:val="00EB2230"/>
    <w:rsid w:val="00EB39EF"/>
    <w:rsid w:val="00EC00F2"/>
    <w:rsid w:val="00EC01AE"/>
    <w:rsid w:val="00EC1BEB"/>
    <w:rsid w:val="00EC5440"/>
    <w:rsid w:val="00EC64FD"/>
    <w:rsid w:val="00EC672B"/>
    <w:rsid w:val="00ECD911"/>
    <w:rsid w:val="00ED072F"/>
    <w:rsid w:val="00ED07A3"/>
    <w:rsid w:val="00ED0A9E"/>
    <w:rsid w:val="00ED3068"/>
    <w:rsid w:val="00ED6113"/>
    <w:rsid w:val="00EE13BC"/>
    <w:rsid w:val="00EE149E"/>
    <w:rsid w:val="00EE404F"/>
    <w:rsid w:val="00EE46B2"/>
    <w:rsid w:val="00EE54A0"/>
    <w:rsid w:val="00EF3996"/>
    <w:rsid w:val="00EF512A"/>
    <w:rsid w:val="00EF7F53"/>
    <w:rsid w:val="00F02BB1"/>
    <w:rsid w:val="00F11825"/>
    <w:rsid w:val="00F134E0"/>
    <w:rsid w:val="00F1504A"/>
    <w:rsid w:val="00F20DF8"/>
    <w:rsid w:val="00F20EBA"/>
    <w:rsid w:val="00F32651"/>
    <w:rsid w:val="00F33353"/>
    <w:rsid w:val="00F3411E"/>
    <w:rsid w:val="00F37D14"/>
    <w:rsid w:val="00F41896"/>
    <w:rsid w:val="00F41CFC"/>
    <w:rsid w:val="00F43181"/>
    <w:rsid w:val="00F50B28"/>
    <w:rsid w:val="00F5115F"/>
    <w:rsid w:val="00F549B3"/>
    <w:rsid w:val="00F554A9"/>
    <w:rsid w:val="00F56AAC"/>
    <w:rsid w:val="00F656CD"/>
    <w:rsid w:val="00F721B7"/>
    <w:rsid w:val="00F73A2D"/>
    <w:rsid w:val="00F73B99"/>
    <w:rsid w:val="00F76A97"/>
    <w:rsid w:val="00F76C3C"/>
    <w:rsid w:val="00F819F3"/>
    <w:rsid w:val="00F86BD5"/>
    <w:rsid w:val="00F917E0"/>
    <w:rsid w:val="00F92683"/>
    <w:rsid w:val="00F92950"/>
    <w:rsid w:val="00F970CF"/>
    <w:rsid w:val="00F97B5F"/>
    <w:rsid w:val="00FA6EAF"/>
    <w:rsid w:val="00FA7F88"/>
    <w:rsid w:val="00FB0D51"/>
    <w:rsid w:val="00FB2FE9"/>
    <w:rsid w:val="00FB4D26"/>
    <w:rsid w:val="00FB4F80"/>
    <w:rsid w:val="00FB6150"/>
    <w:rsid w:val="00FC01F4"/>
    <w:rsid w:val="00FC19E3"/>
    <w:rsid w:val="00FC2767"/>
    <w:rsid w:val="00FC4F19"/>
    <w:rsid w:val="00FD1E44"/>
    <w:rsid w:val="00FD2990"/>
    <w:rsid w:val="00FD39EA"/>
    <w:rsid w:val="00FD5087"/>
    <w:rsid w:val="00FD5501"/>
    <w:rsid w:val="00FD6B77"/>
    <w:rsid w:val="00FE0265"/>
    <w:rsid w:val="00FE450E"/>
    <w:rsid w:val="00FE760A"/>
    <w:rsid w:val="00FF0D92"/>
    <w:rsid w:val="00FF0E7A"/>
    <w:rsid w:val="00FF4934"/>
    <w:rsid w:val="00FF68AC"/>
    <w:rsid w:val="0125B168"/>
    <w:rsid w:val="012BCEBF"/>
    <w:rsid w:val="012CB5CA"/>
    <w:rsid w:val="012D5329"/>
    <w:rsid w:val="013ABFCC"/>
    <w:rsid w:val="015AE0DF"/>
    <w:rsid w:val="01A20201"/>
    <w:rsid w:val="01B83AC9"/>
    <w:rsid w:val="01F4472F"/>
    <w:rsid w:val="021A3209"/>
    <w:rsid w:val="0227B1CD"/>
    <w:rsid w:val="0331A75A"/>
    <w:rsid w:val="03367B4A"/>
    <w:rsid w:val="0374E7BE"/>
    <w:rsid w:val="03EC677C"/>
    <w:rsid w:val="0422974F"/>
    <w:rsid w:val="04C712F2"/>
    <w:rsid w:val="054D1E14"/>
    <w:rsid w:val="05924847"/>
    <w:rsid w:val="065E9E1E"/>
    <w:rsid w:val="0692F24D"/>
    <w:rsid w:val="070C7B00"/>
    <w:rsid w:val="073DB6E5"/>
    <w:rsid w:val="0757532C"/>
    <w:rsid w:val="07604DD5"/>
    <w:rsid w:val="0767EFC0"/>
    <w:rsid w:val="07B57A7C"/>
    <w:rsid w:val="0806A13A"/>
    <w:rsid w:val="0820F32F"/>
    <w:rsid w:val="08C4C489"/>
    <w:rsid w:val="08DD3904"/>
    <w:rsid w:val="0902E45E"/>
    <w:rsid w:val="091FEBA3"/>
    <w:rsid w:val="09A2CF05"/>
    <w:rsid w:val="0A067CE0"/>
    <w:rsid w:val="0A0CBEAB"/>
    <w:rsid w:val="0A71C137"/>
    <w:rsid w:val="0AEC99CB"/>
    <w:rsid w:val="0B0594AD"/>
    <w:rsid w:val="0B9FD85B"/>
    <w:rsid w:val="0BDB6AD2"/>
    <w:rsid w:val="0CB02665"/>
    <w:rsid w:val="0CB8176A"/>
    <w:rsid w:val="0CDA125D"/>
    <w:rsid w:val="0D638B76"/>
    <w:rsid w:val="0D6DBEDD"/>
    <w:rsid w:val="0E6FAC82"/>
    <w:rsid w:val="0E75E2BE"/>
    <w:rsid w:val="0EAC8153"/>
    <w:rsid w:val="0ECE337A"/>
    <w:rsid w:val="0F4D98EA"/>
    <w:rsid w:val="0F868207"/>
    <w:rsid w:val="0F8FA4C7"/>
    <w:rsid w:val="0FB793C6"/>
    <w:rsid w:val="0FD1919A"/>
    <w:rsid w:val="0FE8E122"/>
    <w:rsid w:val="10058103"/>
    <w:rsid w:val="10D14EDF"/>
    <w:rsid w:val="10F6FD93"/>
    <w:rsid w:val="11070314"/>
    <w:rsid w:val="1108D065"/>
    <w:rsid w:val="11468059"/>
    <w:rsid w:val="1169255A"/>
    <w:rsid w:val="1185606C"/>
    <w:rsid w:val="11E66BEB"/>
    <w:rsid w:val="11EA63D9"/>
    <w:rsid w:val="125C92E2"/>
    <w:rsid w:val="127CE5D6"/>
    <w:rsid w:val="12B105D9"/>
    <w:rsid w:val="12DD7E93"/>
    <w:rsid w:val="132E00CA"/>
    <w:rsid w:val="1348AFB6"/>
    <w:rsid w:val="134D0093"/>
    <w:rsid w:val="1387847C"/>
    <w:rsid w:val="14919D08"/>
    <w:rsid w:val="14A3C009"/>
    <w:rsid w:val="14F6EB28"/>
    <w:rsid w:val="153E4999"/>
    <w:rsid w:val="155A651F"/>
    <w:rsid w:val="15611346"/>
    <w:rsid w:val="157C133A"/>
    <w:rsid w:val="158BEC9B"/>
    <w:rsid w:val="159433A4"/>
    <w:rsid w:val="15E29958"/>
    <w:rsid w:val="1602BA4D"/>
    <w:rsid w:val="16266535"/>
    <w:rsid w:val="1627DB07"/>
    <w:rsid w:val="16708714"/>
    <w:rsid w:val="1674C287"/>
    <w:rsid w:val="16E5BBDE"/>
    <w:rsid w:val="170C46DB"/>
    <w:rsid w:val="1762FA4F"/>
    <w:rsid w:val="179FE9BF"/>
    <w:rsid w:val="17EE0C0E"/>
    <w:rsid w:val="1804793D"/>
    <w:rsid w:val="188E3E1D"/>
    <w:rsid w:val="18916A3A"/>
    <w:rsid w:val="18B132D5"/>
    <w:rsid w:val="18E3D354"/>
    <w:rsid w:val="19226E2F"/>
    <w:rsid w:val="19D3ABA8"/>
    <w:rsid w:val="1A5185C2"/>
    <w:rsid w:val="1A5A50EC"/>
    <w:rsid w:val="1B3B79BF"/>
    <w:rsid w:val="1B5D9750"/>
    <w:rsid w:val="1BF4EA76"/>
    <w:rsid w:val="1BFF8E32"/>
    <w:rsid w:val="1C5BED36"/>
    <w:rsid w:val="1D677F53"/>
    <w:rsid w:val="1DA6110E"/>
    <w:rsid w:val="1DDA9CB0"/>
    <w:rsid w:val="1DF07268"/>
    <w:rsid w:val="1E804D7F"/>
    <w:rsid w:val="1E8117AC"/>
    <w:rsid w:val="1E8AF3B8"/>
    <w:rsid w:val="1EF77D09"/>
    <w:rsid w:val="1F2B5A97"/>
    <w:rsid w:val="1F2BEEAA"/>
    <w:rsid w:val="1F3F92D4"/>
    <w:rsid w:val="1FAF112F"/>
    <w:rsid w:val="1FF33EEC"/>
    <w:rsid w:val="2026C419"/>
    <w:rsid w:val="20304051"/>
    <w:rsid w:val="2038F5F9"/>
    <w:rsid w:val="20A1E0B5"/>
    <w:rsid w:val="20B6AED7"/>
    <w:rsid w:val="2105CB2A"/>
    <w:rsid w:val="21302299"/>
    <w:rsid w:val="2133906B"/>
    <w:rsid w:val="2159EFDE"/>
    <w:rsid w:val="21B8032C"/>
    <w:rsid w:val="21CB5D46"/>
    <w:rsid w:val="21D4C65A"/>
    <w:rsid w:val="21D909A9"/>
    <w:rsid w:val="21EC3BCA"/>
    <w:rsid w:val="224840E4"/>
    <w:rsid w:val="22861801"/>
    <w:rsid w:val="2286B4BF"/>
    <w:rsid w:val="22CA4EBA"/>
    <w:rsid w:val="22E5F006"/>
    <w:rsid w:val="2307B147"/>
    <w:rsid w:val="2331E4DD"/>
    <w:rsid w:val="2358C0A9"/>
    <w:rsid w:val="2358E675"/>
    <w:rsid w:val="23F55EB0"/>
    <w:rsid w:val="24183DA4"/>
    <w:rsid w:val="243C1C07"/>
    <w:rsid w:val="2454AC6B"/>
    <w:rsid w:val="24E3F132"/>
    <w:rsid w:val="2518D5D5"/>
    <w:rsid w:val="25951E43"/>
    <w:rsid w:val="2601EF7C"/>
    <w:rsid w:val="26A8377D"/>
    <w:rsid w:val="26C0AE9B"/>
    <w:rsid w:val="26C417D5"/>
    <w:rsid w:val="27173D68"/>
    <w:rsid w:val="2725BE0F"/>
    <w:rsid w:val="2779A288"/>
    <w:rsid w:val="279DBFDD"/>
    <w:rsid w:val="27C80CB7"/>
    <w:rsid w:val="27FED2C3"/>
    <w:rsid w:val="284407DE"/>
    <w:rsid w:val="284AA40D"/>
    <w:rsid w:val="2851CBA3"/>
    <w:rsid w:val="285ACADC"/>
    <w:rsid w:val="286307E3"/>
    <w:rsid w:val="287036E4"/>
    <w:rsid w:val="28A0663D"/>
    <w:rsid w:val="296592C6"/>
    <w:rsid w:val="2ADF3523"/>
    <w:rsid w:val="2B73BB1A"/>
    <w:rsid w:val="2B93C9BB"/>
    <w:rsid w:val="2B9F02BA"/>
    <w:rsid w:val="2BE4B736"/>
    <w:rsid w:val="2BED776A"/>
    <w:rsid w:val="2BF312F6"/>
    <w:rsid w:val="2C28D586"/>
    <w:rsid w:val="2C299B10"/>
    <w:rsid w:val="2C325208"/>
    <w:rsid w:val="2CEBBCD1"/>
    <w:rsid w:val="2CF43388"/>
    <w:rsid w:val="2D16F977"/>
    <w:rsid w:val="2D4D6FD6"/>
    <w:rsid w:val="2D6A3FE4"/>
    <w:rsid w:val="2DC9D5F0"/>
    <w:rsid w:val="2DD2688B"/>
    <w:rsid w:val="2DD3F91D"/>
    <w:rsid w:val="2E10C412"/>
    <w:rsid w:val="2E313C80"/>
    <w:rsid w:val="2E4DDA82"/>
    <w:rsid w:val="2EB87CAC"/>
    <w:rsid w:val="2ED59B0E"/>
    <w:rsid w:val="2EF7B41A"/>
    <w:rsid w:val="2F18A5EB"/>
    <w:rsid w:val="2F8DC32B"/>
    <w:rsid w:val="2FAFDD4C"/>
    <w:rsid w:val="2FB59D9A"/>
    <w:rsid w:val="2FC8A0DF"/>
    <w:rsid w:val="301A9953"/>
    <w:rsid w:val="303BB8F3"/>
    <w:rsid w:val="3048D1BB"/>
    <w:rsid w:val="304E3CF0"/>
    <w:rsid w:val="30CB3FA0"/>
    <w:rsid w:val="30EFB66E"/>
    <w:rsid w:val="30FA9847"/>
    <w:rsid w:val="31189549"/>
    <w:rsid w:val="318EDFED"/>
    <w:rsid w:val="31EAEA24"/>
    <w:rsid w:val="327485D0"/>
    <w:rsid w:val="329094C5"/>
    <w:rsid w:val="3297F140"/>
    <w:rsid w:val="32A41C7C"/>
    <w:rsid w:val="32A8338E"/>
    <w:rsid w:val="32CD396E"/>
    <w:rsid w:val="3318F10C"/>
    <w:rsid w:val="338BF6FE"/>
    <w:rsid w:val="33D91606"/>
    <w:rsid w:val="34569B0A"/>
    <w:rsid w:val="34EE3C07"/>
    <w:rsid w:val="34FACB56"/>
    <w:rsid w:val="34FEF4A1"/>
    <w:rsid w:val="3511B421"/>
    <w:rsid w:val="35786065"/>
    <w:rsid w:val="357B89AF"/>
    <w:rsid w:val="35861652"/>
    <w:rsid w:val="365BD444"/>
    <w:rsid w:val="367ADE5A"/>
    <w:rsid w:val="369026BF"/>
    <w:rsid w:val="36BE5B47"/>
    <w:rsid w:val="36C0E9FA"/>
    <w:rsid w:val="36C18580"/>
    <w:rsid w:val="37F92CD1"/>
    <w:rsid w:val="3816AEBB"/>
    <w:rsid w:val="3828BEDA"/>
    <w:rsid w:val="385A2BA8"/>
    <w:rsid w:val="385D6859"/>
    <w:rsid w:val="386F67A4"/>
    <w:rsid w:val="38723D56"/>
    <w:rsid w:val="38AF7628"/>
    <w:rsid w:val="38B206A4"/>
    <w:rsid w:val="3918C296"/>
    <w:rsid w:val="3940A16B"/>
    <w:rsid w:val="39A17D1D"/>
    <w:rsid w:val="39BC46DD"/>
    <w:rsid w:val="3A177625"/>
    <w:rsid w:val="3A75E5DD"/>
    <w:rsid w:val="3A98EFE8"/>
    <w:rsid w:val="3ABA9217"/>
    <w:rsid w:val="3B196F2D"/>
    <w:rsid w:val="3B308B1F"/>
    <w:rsid w:val="3B4EAA67"/>
    <w:rsid w:val="3B91CC6A"/>
    <w:rsid w:val="3B96E20F"/>
    <w:rsid w:val="3BC7C33F"/>
    <w:rsid w:val="3BFBE88C"/>
    <w:rsid w:val="3C499967"/>
    <w:rsid w:val="3C506358"/>
    <w:rsid w:val="3C8B8EB9"/>
    <w:rsid w:val="3CA48FB8"/>
    <w:rsid w:val="3CA94452"/>
    <w:rsid w:val="3CCDABC2"/>
    <w:rsid w:val="3CD2D30B"/>
    <w:rsid w:val="3D2D9CCB"/>
    <w:rsid w:val="3E0428BD"/>
    <w:rsid w:val="3E2DE4E6"/>
    <w:rsid w:val="3E483ADB"/>
    <w:rsid w:val="3E946AE6"/>
    <w:rsid w:val="3E968444"/>
    <w:rsid w:val="3EC96D2C"/>
    <w:rsid w:val="3EF75EED"/>
    <w:rsid w:val="3F124826"/>
    <w:rsid w:val="3F211AB3"/>
    <w:rsid w:val="3F9B4DDB"/>
    <w:rsid w:val="3FA58C32"/>
    <w:rsid w:val="3FC76101"/>
    <w:rsid w:val="4002DFCA"/>
    <w:rsid w:val="409B3462"/>
    <w:rsid w:val="40AEE4C6"/>
    <w:rsid w:val="40B8913E"/>
    <w:rsid w:val="40BCEB14"/>
    <w:rsid w:val="40FB1BAD"/>
    <w:rsid w:val="40FCF2AE"/>
    <w:rsid w:val="4119A876"/>
    <w:rsid w:val="4184081E"/>
    <w:rsid w:val="41972183"/>
    <w:rsid w:val="41A34CBF"/>
    <w:rsid w:val="421B3621"/>
    <w:rsid w:val="423704C3"/>
    <w:rsid w:val="42503F39"/>
    <w:rsid w:val="4250BE87"/>
    <w:rsid w:val="42882B09"/>
    <w:rsid w:val="428CA1BC"/>
    <w:rsid w:val="42F1BA8D"/>
    <w:rsid w:val="4329B9A4"/>
    <w:rsid w:val="433D09FE"/>
    <w:rsid w:val="438BC63A"/>
    <w:rsid w:val="4394B5D8"/>
    <w:rsid w:val="43D75E18"/>
    <w:rsid w:val="441DE667"/>
    <w:rsid w:val="443BBFEB"/>
    <w:rsid w:val="444D5720"/>
    <w:rsid w:val="44CF5919"/>
    <w:rsid w:val="450ABA25"/>
    <w:rsid w:val="4533F901"/>
    <w:rsid w:val="4534B156"/>
    <w:rsid w:val="45917E99"/>
    <w:rsid w:val="45F7459E"/>
    <w:rsid w:val="461910D3"/>
    <w:rsid w:val="465B07CC"/>
    <w:rsid w:val="46730DD7"/>
    <w:rsid w:val="4685C971"/>
    <w:rsid w:val="46A90555"/>
    <w:rsid w:val="46DE3827"/>
    <w:rsid w:val="46EBB118"/>
    <w:rsid w:val="4798960B"/>
    <w:rsid w:val="47AF19A7"/>
    <w:rsid w:val="47B3858D"/>
    <w:rsid w:val="47ED309D"/>
    <w:rsid w:val="480B2FF7"/>
    <w:rsid w:val="480CE864"/>
    <w:rsid w:val="4833DA8A"/>
    <w:rsid w:val="4839249B"/>
    <w:rsid w:val="483BAAD4"/>
    <w:rsid w:val="483BCF22"/>
    <w:rsid w:val="49042162"/>
    <w:rsid w:val="492E3054"/>
    <w:rsid w:val="4980E0DD"/>
    <w:rsid w:val="49E4806E"/>
    <w:rsid w:val="49E8342D"/>
    <w:rsid w:val="4A2C1F07"/>
    <w:rsid w:val="4A604185"/>
    <w:rsid w:val="4A6C8632"/>
    <w:rsid w:val="4A6D260A"/>
    <w:rsid w:val="4A79075E"/>
    <w:rsid w:val="4AAB3825"/>
    <w:rsid w:val="4AB3ED84"/>
    <w:rsid w:val="4B111C1F"/>
    <w:rsid w:val="4B1E78F1"/>
    <w:rsid w:val="4B437209"/>
    <w:rsid w:val="4B67D979"/>
    <w:rsid w:val="4B95CED4"/>
    <w:rsid w:val="4B9E1CC3"/>
    <w:rsid w:val="4BB9FA15"/>
    <w:rsid w:val="4BD4CB28"/>
    <w:rsid w:val="4BE36C1C"/>
    <w:rsid w:val="4C26CE22"/>
    <w:rsid w:val="4C48D9B4"/>
    <w:rsid w:val="4C666B80"/>
    <w:rsid w:val="4CC5C27A"/>
    <w:rsid w:val="4CE46A49"/>
    <w:rsid w:val="4D4121B8"/>
    <w:rsid w:val="4D98B3EC"/>
    <w:rsid w:val="4E0532CE"/>
    <w:rsid w:val="4E1E5B2B"/>
    <w:rsid w:val="4E2C0005"/>
    <w:rsid w:val="4E51AFE6"/>
    <w:rsid w:val="4E545200"/>
    <w:rsid w:val="4E6715D6"/>
    <w:rsid w:val="4E7C08E6"/>
    <w:rsid w:val="4EB634A0"/>
    <w:rsid w:val="4EF2238B"/>
    <w:rsid w:val="4F1BD111"/>
    <w:rsid w:val="4F2443A2"/>
    <w:rsid w:val="4F26FA8A"/>
    <w:rsid w:val="4FE54133"/>
    <w:rsid w:val="500A8400"/>
    <w:rsid w:val="50520C6D"/>
    <w:rsid w:val="506E27B0"/>
    <w:rsid w:val="50777DB6"/>
    <w:rsid w:val="50821487"/>
    <w:rsid w:val="5091E18E"/>
    <w:rsid w:val="50CDC9F2"/>
    <w:rsid w:val="50D42C03"/>
    <w:rsid w:val="50D94559"/>
    <w:rsid w:val="510F833E"/>
    <w:rsid w:val="51411527"/>
    <w:rsid w:val="51A0AADF"/>
    <w:rsid w:val="51E93D2D"/>
    <w:rsid w:val="526AB8D2"/>
    <w:rsid w:val="52B33680"/>
    <w:rsid w:val="52F7610A"/>
    <w:rsid w:val="5372DCF3"/>
    <w:rsid w:val="53850D8E"/>
    <w:rsid w:val="53B77FC1"/>
    <w:rsid w:val="540DA2B3"/>
    <w:rsid w:val="54504D78"/>
    <w:rsid w:val="5476443E"/>
    <w:rsid w:val="54D1310A"/>
    <w:rsid w:val="54E88AF3"/>
    <w:rsid w:val="54EA2D7A"/>
    <w:rsid w:val="551A522A"/>
    <w:rsid w:val="551BF014"/>
    <w:rsid w:val="553F6A2A"/>
    <w:rsid w:val="55713F81"/>
    <w:rsid w:val="5589B944"/>
    <w:rsid w:val="55C1A66C"/>
    <w:rsid w:val="564BD3D9"/>
    <w:rsid w:val="565262D9"/>
    <w:rsid w:val="565F63E5"/>
    <w:rsid w:val="56F1E780"/>
    <w:rsid w:val="57FB3446"/>
    <w:rsid w:val="5889AB13"/>
    <w:rsid w:val="58C2ED22"/>
    <w:rsid w:val="5915F9C0"/>
    <w:rsid w:val="59186A8E"/>
    <w:rsid w:val="592E47F3"/>
    <w:rsid w:val="595A8DEA"/>
    <w:rsid w:val="598761AD"/>
    <w:rsid w:val="598B275A"/>
    <w:rsid w:val="599B90FA"/>
    <w:rsid w:val="5A067C63"/>
    <w:rsid w:val="5A2644C2"/>
    <w:rsid w:val="5A2B5863"/>
    <w:rsid w:val="5A54F62D"/>
    <w:rsid w:val="5AE81205"/>
    <w:rsid w:val="5B19CDF5"/>
    <w:rsid w:val="5B45ABD4"/>
    <w:rsid w:val="5B4C4829"/>
    <w:rsid w:val="5B600A19"/>
    <w:rsid w:val="5B681F7E"/>
    <w:rsid w:val="5B7C33EE"/>
    <w:rsid w:val="5B9E61B5"/>
    <w:rsid w:val="5BAAE6D6"/>
    <w:rsid w:val="5BB51EE2"/>
    <w:rsid w:val="5BBD7F5D"/>
    <w:rsid w:val="5BC21523"/>
    <w:rsid w:val="5C54A9B2"/>
    <w:rsid w:val="5C878489"/>
    <w:rsid w:val="5D4CA7DE"/>
    <w:rsid w:val="5D574582"/>
    <w:rsid w:val="5D788B37"/>
    <w:rsid w:val="5E1E551B"/>
    <w:rsid w:val="5E2CA1D5"/>
    <w:rsid w:val="5E606D8A"/>
    <w:rsid w:val="5E756453"/>
    <w:rsid w:val="5E944E23"/>
    <w:rsid w:val="5EAE8550"/>
    <w:rsid w:val="5ED267B4"/>
    <w:rsid w:val="5ED9ED86"/>
    <w:rsid w:val="5EEEC96A"/>
    <w:rsid w:val="5EF9B5E5"/>
    <w:rsid w:val="5F73B51C"/>
    <w:rsid w:val="5F9AA489"/>
    <w:rsid w:val="5FA339EB"/>
    <w:rsid w:val="5FDB9FC8"/>
    <w:rsid w:val="600E7752"/>
    <w:rsid w:val="603C91B3"/>
    <w:rsid w:val="603E8256"/>
    <w:rsid w:val="608EE644"/>
    <w:rsid w:val="60913D36"/>
    <w:rsid w:val="6094BCF8"/>
    <w:rsid w:val="60B87946"/>
    <w:rsid w:val="60CE8E07"/>
    <w:rsid w:val="6150C7C4"/>
    <w:rsid w:val="615EBD92"/>
    <w:rsid w:val="61733FEE"/>
    <w:rsid w:val="61966112"/>
    <w:rsid w:val="61AAD8AD"/>
    <w:rsid w:val="61C1CA68"/>
    <w:rsid w:val="6223327C"/>
    <w:rsid w:val="62246066"/>
    <w:rsid w:val="622F4836"/>
    <w:rsid w:val="6255FE41"/>
    <w:rsid w:val="6280D816"/>
    <w:rsid w:val="62A8CA22"/>
    <w:rsid w:val="62B93DF3"/>
    <w:rsid w:val="62BA39ED"/>
    <w:rsid w:val="63409134"/>
    <w:rsid w:val="63578C4D"/>
    <w:rsid w:val="6363FAD8"/>
    <w:rsid w:val="637B5E8B"/>
    <w:rsid w:val="63CC5DBA"/>
    <w:rsid w:val="63D84654"/>
    <w:rsid w:val="6426C42F"/>
    <w:rsid w:val="64743DEB"/>
    <w:rsid w:val="64846C4D"/>
    <w:rsid w:val="64BED1C9"/>
    <w:rsid w:val="64E1A4D4"/>
    <w:rsid w:val="6501DEBC"/>
    <w:rsid w:val="655C0128"/>
    <w:rsid w:val="6573C539"/>
    <w:rsid w:val="65BCF2BC"/>
    <w:rsid w:val="661520C8"/>
    <w:rsid w:val="6641724C"/>
    <w:rsid w:val="6693B28C"/>
    <w:rsid w:val="66E4FF6B"/>
    <w:rsid w:val="66F7D189"/>
    <w:rsid w:val="67216FAD"/>
    <w:rsid w:val="677FCC1D"/>
    <w:rsid w:val="67C77F85"/>
    <w:rsid w:val="67C90AD5"/>
    <w:rsid w:val="67E1CE59"/>
    <w:rsid w:val="67EE994D"/>
    <w:rsid w:val="682C4F16"/>
    <w:rsid w:val="68354C46"/>
    <w:rsid w:val="6857F5D6"/>
    <w:rsid w:val="6870567E"/>
    <w:rsid w:val="68933E62"/>
    <w:rsid w:val="68A044A4"/>
    <w:rsid w:val="68EC114A"/>
    <w:rsid w:val="68F99532"/>
    <w:rsid w:val="6926A5FE"/>
    <w:rsid w:val="692D2690"/>
    <w:rsid w:val="6942B14C"/>
    <w:rsid w:val="694C1E56"/>
    <w:rsid w:val="6989CF69"/>
    <w:rsid w:val="698CDEAB"/>
    <w:rsid w:val="698D0510"/>
    <w:rsid w:val="69BE22B1"/>
    <w:rsid w:val="69CBC608"/>
    <w:rsid w:val="69EA6D6D"/>
    <w:rsid w:val="6A2673FC"/>
    <w:rsid w:val="6A581065"/>
    <w:rsid w:val="6AA07236"/>
    <w:rsid w:val="6ADCC0AC"/>
    <w:rsid w:val="6B0E4C4E"/>
    <w:rsid w:val="6B5A4A8D"/>
    <w:rsid w:val="6B8D0DA9"/>
    <w:rsid w:val="6BED9C93"/>
    <w:rsid w:val="6BFAA4BF"/>
    <w:rsid w:val="6C1566E0"/>
    <w:rsid w:val="6C4D292C"/>
    <w:rsid w:val="6C833CB5"/>
    <w:rsid w:val="6CC14648"/>
    <w:rsid w:val="6CCD25C5"/>
    <w:rsid w:val="6D10A996"/>
    <w:rsid w:val="6D66003D"/>
    <w:rsid w:val="6D67130D"/>
    <w:rsid w:val="6D910C9C"/>
    <w:rsid w:val="6DDA5AF7"/>
    <w:rsid w:val="6E0CAFDE"/>
    <w:rsid w:val="6E18A3C8"/>
    <w:rsid w:val="6E412890"/>
    <w:rsid w:val="6EBF3F3B"/>
    <w:rsid w:val="6ED8F49F"/>
    <w:rsid w:val="6EF2CC0A"/>
    <w:rsid w:val="6F2E677F"/>
    <w:rsid w:val="6F7C4A0D"/>
    <w:rsid w:val="6F84256C"/>
    <w:rsid w:val="6FA539C1"/>
    <w:rsid w:val="6FB82FE7"/>
    <w:rsid w:val="6FD68522"/>
    <w:rsid w:val="6FE02FA2"/>
    <w:rsid w:val="708615C7"/>
    <w:rsid w:val="7090D6A5"/>
    <w:rsid w:val="7093CF37"/>
    <w:rsid w:val="709F65D6"/>
    <w:rsid w:val="7161AA34"/>
    <w:rsid w:val="71A7BBD4"/>
    <w:rsid w:val="71E5B793"/>
    <w:rsid w:val="71F885A7"/>
    <w:rsid w:val="7220F88B"/>
    <w:rsid w:val="7231CEE5"/>
    <w:rsid w:val="72428E12"/>
    <w:rsid w:val="72638A48"/>
    <w:rsid w:val="7264CB9D"/>
    <w:rsid w:val="727DF97F"/>
    <w:rsid w:val="728806A6"/>
    <w:rsid w:val="72E083E1"/>
    <w:rsid w:val="72E08539"/>
    <w:rsid w:val="731F7C12"/>
    <w:rsid w:val="73499139"/>
    <w:rsid w:val="735CE481"/>
    <w:rsid w:val="73B1AD09"/>
    <w:rsid w:val="73D541C1"/>
    <w:rsid w:val="73F30C0E"/>
    <w:rsid w:val="73FA4ABC"/>
    <w:rsid w:val="73FB270D"/>
    <w:rsid w:val="73FF374A"/>
    <w:rsid w:val="741845EF"/>
    <w:rsid w:val="744932FB"/>
    <w:rsid w:val="74739506"/>
    <w:rsid w:val="74757CB7"/>
    <w:rsid w:val="7493DD3E"/>
    <w:rsid w:val="74AD6E03"/>
    <w:rsid w:val="74DA993F"/>
    <w:rsid w:val="753E3C43"/>
    <w:rsid w:val="75711222"/>
    <w:rsid w:val="75834402"/>
    <w:rsid w:val="759349F8"/>
    <w:rsid w:val="75C82B12"/>
    <w:rsid w:val="75EF133D"/>
    <w:rsid w:val="762FAD9F"/>
    <w:rsid w:val="764CBF88"/>
    <w:rsid w:val="7658EC7B"/>
    <w:rsid w:val="7678CC62"/>
    <w:rsid w:val="768596E7"/>
    <w:rsid w:val="7694C5F0"/>
    <w:rsid w:val="770310BB"/>
    <w:rsid w:val="770CE283"/>
    <w:rsid w:val="77C4F23B"/>
    <w:rsid w:val="77F4BCDC"/>
    <w:rsid w:val="787AC692"/>
    <w:rsid w:val="789EE11C"/>
    <w:rsid w:val="790A03F6"/>
    <w:rsid w:val="790AD891"/>
    <w:rsid w:val="79674E61"/>
    <w:rsid w:val="79800EBA"/>
    <w:rsid w:val="799C75D7"/>
    <w:rsid w:val="79E9649E"/>
    <w:rsid w:val="79F70650"/>
    <w:rsid w:val="79F8DE8F"/>
    <w:rsid w:val="79FAAA31"/>
    <w:rsid w:val="7A3A71FB"/>
    <w:rsid w:val="7A5C7CB2"/>
    <w:rsid w:val="7A6ECCD2"/>
    <w:rsid w:val="7A6FDD82"/>
    <w:rsid w:val="7A714ED5"/>
    <w:rsid w:val="7A831A7A"/>
    <w:rsid w:val="7B01EA7B"/>
    <w:rsid w:val="7B2C5D9E"/>
    <w:rsid w:val="7BA11880"/>
    <w:rsid w:val="7BF1CD76"/>
    <w:rsid w:val="7BF84D13"/>
    <w:rsid w:val="7C95A417"/>
    <w:rsid w:val="7CBC010C"/>
    <w:rsid w:val="7D13C698"/>
    <w:rsid w:val="7D1C034B"/>
    <w:rsid w:val="7D4F7612"/>
    <w:rsid w:val="7D53F2C0"/>
    <w:rsid w:val="7D80657F"/>
    <w:rsid w:val="7D81D929"/>
    <w:rsid w:val="7D85245D"/>
    <w:rsid w:val="7D941D74"/>
    <w:rsid w:val="7DA3361E"/>
    <w:rsid w:val="7DD21DE6"/>
    <w:rsid w:val="7E40C5C8"/>
    <w:rsid w:val="7E612339"/>
    <w:rsid w:val="7EA2D860"/>
    <w:rsid w:val="7EAD3619"/>
    <w:rsid w:val="7ECA78EF"/>
    <w:rsid w:val="7F2A2648"/>
    <w:rsid w:val="7F61C413"/>
    <w:rsid w:val="7F79457A"/>
    <w:rsid w:val="7FEF8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4003"/>
  <w15:chartTrackingRefBased/>
  <w15:docId w15:val="{312EFAE7-4BAF-4F99-9DA3-39306033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31A4"/>
    <w:pPr>
      <w:spacing w:after="200" w:line="276" w:lineRule="auto"/>
    </w:pPr>
    <w:rPr>
      <w:rFonts w:ascii="Arial" w:eastAsiaTheme="minorEastAsia" w:hAnsi="Arial"/>
      <w:spacing w:val="10"/>
      <w:sz w:val="20"/>
      <w:szCs w:val="2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31A4"/>
    <w:pPr>
      <w:ind w:left="720"/>
      <w:contextualSpacing/>
    </w:pPr>
    <w:rPr>
      <w:rFonts w:ascii="Verdana" w:eastAsiaTheme="minorHAnsi" w:hAnsi="Verdana"/>
      <w:spacing w:val="0"/>
      <w:sz w:val="18"/>
      <w:szCs w:val="22"/>
      <w:lang w:val="da-DK" w:eastAsia="en-US"/>
    </w:rPr>
  </w:style>
  <w:style w:type="character" w:customStyle="1" w:styleId="ListParagraphChar">
    <w:name w:val="List Paragraph Char"/>
    <w:basedOn w:val="DefaultParagraphFont"/>
    <w:link w:val="ListParagraph"/>
    <w:rsid w:val="002E31A4"/>
    <w:rPr>
      <w:rFonts w:ascii="Verdana" w:hAnsi="Verdana"/>
      <w:sz w:val="18"/>
      <w:lang w:val="da-DK"/>
    </w:rPr>
  </w:style>
  <w:style w:type="table" w:customStyle="1" w:styleId="Tabelroheline1">
    <w:name w:val="Tabel_roheline1"/>
    <w:basedOn w:val="TableNormal"/>
    <w:uiPriority w:val="99"/>
    <w:qFormat/>
    <w:rsid w:val="002E31A4"/>
    <w:pPr>
      <w:spacing w:after="0" w:line="240" w:lineRule="auto"/>
    </w:pPr>
    <w:rPr>
      <w:rFonts w:ascii="Arial" w:eastAsia="MS Mincho" w:hAnsi="Arial"/>
      <w:sz w:val="16"/>
      <w:szCs w:val="20"/>
      <w:lang w:val="en-GB" w:eastAsia="en-GB"/>
    </w:rPr>
    <w:tblPr>
      <w:tblStyleRowBandSize w:val="1"/>
      <w:tblStyleColBandSize w:val="1"/>
      <w:tblBorders>
        <w:insideH w:val="single" w:sz="2" w:space="0" w:color="A6A6A6"/>
        <w:insideV w:val="single" w:sz="2" w:space="0" w:color="A6A6A6"/>
      </w:tblBorders>
      <w:tblCellMar>
        <w:top w:w="28" w:type="dxa"/>
        <w:left w:w="28" w:type="dxa"/>
        <w:bottom w:w="28" w:type="dxa"/>
        <w:right w:w="28" w:type="dxa"/>
      </w:tblCellMar>
    </w:tblPr>
    <w:tcPr>
      <w:shd w:val="clear" w:color="auto" w:fill="007360"/>
      <w:tcMar>
        <w:top w:w="0" w:type="dxa"/>
        <w:left w:w="113" w:type="dxa"/>
        <w:bottom w:w="0" w:type="dxa"/>
        <w:right w:w="113" w:type="dxa"/>
      </w:tcMar>
      <w:vAlign w:val="center"/>
    </w:tcPr>
    <w:tblStylePr w:type="firstRow">
      <w:pPr>
        <w:spacing w:before="0" w:after="0" w:line="240" w:lineRule="auto"/>
      </w:pPr>
      <w:rPr>
        <w:rFonts w:ascii="Arial" w:hAnsi="Arial"/>
        <w:b/>
        <w:bCs/>
        <w:color w:val="FFFFFF"/>
        <w:sz w:val="16"/>
      </w:rPr>
      <w:tblPr/>
      <w:tcPr>
        <w:shd w:val="clear" w:color="auto" w:fill="007360"/>
      </w:tcPr>
    </w:tblStylePr>
    <w:tblStylePr w:type="lastRow">
      <w:pPr>
        <w:spacing w:before="0" w:after="0" w:line="240" w:lineRule="auto"/>
      </w:pPr>
      <w:rPr>
        <w:b w:val="0"/>
        <w:bCs/>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val="clear" w:color="auto" w:fill="auto"/>
      </w:tcPr>
    </w:tblStylePr>
    <w:tblStylePr w:type="firstCol">
      <w:rPr>
        <w:b w:val="0"/>
        <w:bCs/>
      </w:rPr>
      <w:tblPr/>
      <w:tcPr>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val="clear" w:color="auto" w:fill="auto"/>
      </w:tcPr>
    </w:tblStylePr>
    <w:tblStylePr w:type="lastCol">
      <w:rPr>
        <w:b w:val="0"/>
        <w:bCs/>
      </w:rPr>
      <w:tblPr/>
      <w:tcPr>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val="clear" w:color="auto" w:fill="auto"/>
      </w:tcPr>
    </w:tblStylePr>
    <w:tblStylePr w:type="band1Vert">
      <w:tblPr/>
      <w:tcPr>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val="clear" w:color="auto" w:fill="auto"/>
      </w:tcPr>
    </w:tblStylePr>
    <w:tblStylePr w:type="band2Vert">
      <w:tblPr/>
      <w:tcPr>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val="clear" w:color="auto" w:fill="auto"/>
      </w:tcPr>
    </w:tblStylePr>
    <w:tblStylePr w:type="band1Horz">
      <w:tblPr/>
      <w:tcPr>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val="clear" w:color="auto" w:fill="auto"/>
      </w:tcPr>
    </w:tblStylePr>
    <w:tblStylePr w:type="band2Horz">
      <w:tblPr/>
      <w:tcPr>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val="clear" w:color="auto" w:fill="auto"/>
      </w:tcPr>
    </w:tblStylePr>
  </w:style>
  <w:style w:type="character" w:styleId="CommentReference">
    <w:name w:val="annotation reference"/>
    <w:basedOn w:val="DefaultParagraphFont"/>
    <w:uiPriority w:val="99"/>
    <w:semiHidden/>
    <w:unhideWhenUsed/>
    <w:rsid w:val="006704CC"/>
    <w:rPr>
      <w:sz w:val="16"/>
      <w:szCs w:val="16"/>
    </w:rPr>
  </w:style>
  <w:style w:type="paragraph" w:styleId="CommentText">
    <w:name w:val="annotation text"/>
    <w:basedOn w:val="Normal"/>
    <w:link w:val="CommentTextChar"/>
    <w:uiPriority w:val="99"/>
    <w:unhideWhenUsed/>
    <w:rsid w:val="006704CC"/>
    <w:pPr>
      <w:spacing w:line="240" w:lineRule="auto"/>
    </w:pPr>
    <w:rPr>
      <w:szCs w:val="20"/>
    </w:rPr>
  </w:style>
  <w:style w:type="character" w:customStyle="1" w:styleId="CommentTextChar">
    <w:name w:val="Comment Text Char"/>
    <w:basedOn w:val="DefaultParagraphFont"/>
    <w:link w:val="CommentText"/>
    <w:uiPriority w:val="99"/>
    <w:rsid w:val="006704CC"/>
    <w:rPr>
      <w:rFonts w:ascii="Arial" w:eastAsiaTheme="minorEastAsia" w:hAnsi="Arial"/>
      <w:spacing w:val="10"/>
      <w:sz w:val="20"/>
      <w:szCs w:val="20"/>
      <w:lang w:eastAsia="et-EE"/>
    </w:rPr>
  </w:style>
  <w:style w:type="paragraph" w:styleId="CommentSubject">
    <w:name w:val="annotation subject"/>
    <w:basedOn w:val="CommentText"/>
    <w:next w:val="CommentText"/>
    <w:link w:val="CommentSubjectChar"/>
    <w:uiPriority w:val="99"/>
    <w:semiHidden/>
    <w:unhideWhenUsed/>
    <w:rsid w:val="006704CC"/>
    <w:rPr>
      <w:b/>
      <w:bCs/>
    </w:rPr>
  </w:style>
  <w:style w:type="character" w:customStyle="1" w:styleId="CommentSubjectChar">
    <w:name w:val="Comment Subject Char"/>
    <w:basedOn w:val="CommentTextChar"/>
    <w:link w:val="CommentSubject"/>
    <w:uiPriority w:val="99"/>
    <w:semiHidden/>
    <w:rsid w:val="006704CC"/>
    <w:rPr>
      <w:rFonts w:ascii="Arial" w:eastAsiaTheme="minorEastAsia" w:hAnsi="Arial"/>
      <w:b/>
      <w:bCs/>
      <w:spacing w:val="10"/>
      <w:sz w:val="20"/>
      <w:szCs w:val="20"/>
      <w:lang w:eastAsia="et-EE"/>
    </w:rPr>
  </w:style>
  <w:style w:type="paragraph" w:customStyle="1" w:styleId="Default">
    <w:name w:val="Default"/>
    <w:rsid w:val="00B82D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6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5F"/>
    <w:rPr>
      <w:rFonts w:ascii="Arial" w:eastAsiaTheme="minorEastAsia" w:hAnsi="Arial"/>
      <w:spacing w:val="10"/>
      <w:sz w:val="20"/>
      <w:szCs w:val="28"/>
      <w:lang w:eastAsia="et-EE"/>
    </w:rPr>
  </w:style>
  <w:style w:type="paragraph" w:styleId="Footer">
    <w:name w:val="footer"/>
    <w:basedOn w:val="Normal"/>
    <w:link w:val="FooterChar"/>
    <w:uiPriority w:val="99"/>
    <w:unhideWhenUsed/>
    <w:rsid w:val="00E16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5F"/>
    <w:rPr>
      <w:rFonts w:ascii="Arial" w:eastAsiaTheme="minorEastAsia" w:hAnsi="Arial"/>
      <w:spacing w:val="10"/>
      <w:sz w:val="20"/>
      <w:szCs w:val="28"/>
      <w:lang w:eastAsia="et-EE"/>
    </w:rPr>
  </w:style>
  <w:style w:type="paragraph" w:styleId="BodyText">
    <w:name w:val="Body Text"/>
    <w:basedOn w:val="Normal"/>
    <w:link w:val="BodyTextChar"/>
    <w:rsid w:val="00E16F5F"/>
    <w:pPr>
      <w:widowControl w:val="0"/>
      <w:suppressAutoHyphens/>
      <w:spacing w:after="120" w:line="240" w:lineRule="auto"/>
    </w:pPr>
    <w:rPr>
      <w:rFonts w:ascii="Times New Roman" w:eastAsia="Arial Unicode MS" w:hAnsi="Times New Roman" w:cs="Times New Roman"/>
      <w:spacing w:val="0"/>
      <w:kern w:val="1"/>
      <w:sz w:val="24"/>
      <w:szCs w:val="24"/>
      <w:lang w:val="en-US"/>
    </w:rPr>
  </w:style>
  <w:style w:type="character" w:customStyle="1" w:styleId="BodyTextChar">
    <w:name w:val="Body Text Char"/>
    <w:basedOn w:val="DefaultParagraphFont"/>
    <w:link w:val="BodyText"/>
    <w:rsid w:val="00E16F5F"/>
    <w:rPr>
      <w:rFonts w:ascii="Times New Roman" w:eastAsia="Arial Unicode MS" w:hAnsi="Times New Roman" w:cs="Times New Roman"/>
      <w:kern w:val="1"/>
      <w:sz w:val="24"/>
      <w:szCs w:val="24"/>
      <w:lang w:val="en-US"/>
    </w:rPr>
  </w:style>
  <w:style w:type="character" w:styleId="Hyperlink">
    <w:name w:val="Hyperlink"/>
    <w:basedOn w:val="DefaultParagraphFont"/>
    <w:uiPriority w:val="99"/>
    <w:unhideWhenUsed/>
    <w:rsid w:val="001B379F"/>
    <w:rPr>
      <w:color w:val="0563C1" w:themeColor="hyperlink"/>
      <w:u w:val="single"/>
    </w:rPr>
  </w:style>
  <w:style w:type="character" w:styleId="UnresolvedMention">
    <w:name w:val="Unresolved Mention"/>
    <w:basedOn w:val="DefaultParagraphFont"/>
    <w:uiPriority w:val="99"/>
    <w:semiHidden/>
    <w:unhideWhenUsed/>
    <w:rsid w:val="001B379F"/>
    <w:rPr>
      <w:color w:val="605E5C"/>
      <w:shd w:val="clear" w:color="auto" w:fill="E1DFDD"/>
    </w:rPr>
  </w:style>
  <w:style w:type="paragraph" w:styleId="Revision">
    <w:name w:val="Revision"/>
    <w:hidden/>
    <w:uiPriority w:val="99"/>
    <w:semiHidden/>
    <w:rsid w:val="00732DCA"/>
    <w:pPr>
      <w:spacing w:after="0" w:line="240" w:lineRule="auto"/>
    </w:pPr>
    <w:rPr>
      <w:rFonts w:ascii="Arial" w:eastAsiaTheme="minorEastAsia" w:hAnsi="Arial"/>
      <w:spacing w:val="10"/>
      <w:sz w:val="20"/>
      <w:szCs w:val="28"/>
      <w:lang w:eastAsia="et-EE"/>
    </w:rPr>
  </w:style>
  <w:style w:type="paragraph" w:styleId="NormalWeb">
    <w:name w:val="Normal (Web)"/>
    <w:basedOn w:val="Normal"/>
    <w:uiPriority w:val="99"/>
    <w:semiHidden/>
    <w:unhideWhenUsed/>
    <w:rsid w:val="00C9422D"/>
    <w:pPr>
      <w:spacing w:before="100" w:beforeAutospacing="1" w:after="100" w:afterAutospacing="1" w:line="240" w:lineRule="auto"/>
    </w:pPr>
    <w:rPr>
      <w:rFonts w:ascii="Times New Roman" w:eastAsia="Times New Roman" w:hAnsi="Times New Roman" w:cs="Times New Roman"/>
      <w:spacing w:val="0"/>
      <w:sz w:val="24"/>
      <w:szCs w:val="24"/>
    </w:rPr>
  </w:style>
  <w:style w:type="paragraph" w:customStyle="1" w:styleId="Bullet1">
    <w:name w:val="Bullet1"/>
    <w:basedOn w:val="Normal"/>
    <w:rsid w:val="00EF7F53"/>
    <w:pPr>
      <w:numPr>
        <w:numId w:val="7"/>
      </w:numPr>
    </w:pPr>
  </w:style>
  <w:style w:type="paragraph" w:customStyle="1" w:styleId="Teksttabel">
    <w:name w:val="Tekst_tabel"/>
    <w:basedOn w:val="Normal"/>
    <w:link w:val="TeksttabelMrk"/>
    <w:qFormat/>
    <w:rsid w:val="008D29FF"/>
    <w:pPr>
      <w:spacing w:beforeLines="60" w:before="60"/>
    </w:pPr>
    <w:rPr>
      <w:rFonts w:cs="Arial"/>
      <w:sz w:val="18"/>
      <w:szCs w:val="18"/>
    </w:rPr>
  </w:style>
  <w:style w:type="paragraph" w:styleId="FootnoteText">
    <w:name w:val="footnote text"/>
    <w:basedOn w:val="Normal"/>
    <w:link w:val="FootnoteTextChar"/>
    <w:uiPriority w:val="99"/>
    <w:semiHidden/>
    <w:unhideWhenUsed/>
    <w:rsid w:val="003E14E3"/>
    <w:pPr>
      <w:spacing w:after="0" w:line="240" w:lineRule="auto"/>
    </w:pPr>
    <w:rPr>
      <w:szCs w:val="20"/>
    </w:rPr>
  </w:style>
  <w:style w:type="character" w:customStyle="1" w:styleId="TeksttabelMrk">
    <w:name w:val="Tekst_tabel Märk"/>
    <w:basedOn w:val="DefaultParagraphFont"/>
    <w:link w:val="Teksttabel"/>
    <w:rsid w:val="008D29FF"/>
    <w:rPr>
      <w:rFonts w:ascii="Arial" w:eastAsiaTheme="minorEastAsia" w:hAnsi="Arial" w:cs="Arial"/>
      <w:spacing w:val="10"/>
      <w:sz w:val="18"/>
      <w:szCs w:val="18"/>
      <w:lang w:eastAsia="et-EE"/>
    </w:rPr>
  </w:style>
  <w:style w:type="character" w:customStyle="1" w:styleId="FootnoteTextChar">
    <w:name w:val="Footnote Text Char"/>
    <w:basedOn w:val="DefaultParagraphFont"/>
    <w:link w:val="FootnoteText"/>
    <w:uiPriority w:val="99"/>
    <w:semiHidden/>
    <w:rsid w:val="003E14E3"/>
    <w:rPr>
      <w:rFonts w:ascii="Arial" w:eastAsiaTheme="minorEastAsia" w:hAnsi="Arial"/>
      <w:spacing w:val="10"/>
      <w:sz w:val="20"/>
      <w:szCs w:val="20"/>
      <w:lang w:eastAsia="et-EE"/>
    </w:rPr>
  </w:style>
  <w:style w:type="character" w:styleId="FootnoteReference">
    <w:name w:val="footnote reference"/>
    <w:basedOn w:val="DefaultParagraphFont"/>
    <w:uiPriority w:val="99"/>
    <w:semiHidden/>
    <w:unhideWhenUsed/>
    <w:rsid w:val="003E14E3"/>
    <w:rPr>
      <w:vertAlign w:val="superscript"/>
    </w:rPr>
  </w:style>
  <w:style w:type="character" w:styleId="Mention">
    <w:name w:val="Mention"/>
    <w:basedOn w:val="DefaultParagraphFont"/>
    <w:uiPriority w:val="99"/>
    <w:unhideWhenUsed/>
    <w:rsid w:val="00B458CB"/>
    <w:rPr>
      <w:color w:val="2B579A"/>
      <w:shd w:val="clear" w:color="auto" w:fill="E1DFDD"/>
    </w:rPr>
  </w:style>
  <w:style w:type="character" w:styleId="FollowedHyperlink">
    <w:name w:val="FollowedHyperlink"/>
    <w:basedOn w:val="DefaultParagraphFont"/>
    <w:uiPriority w:val="99"/>
    <w:semiHidden/>
    <w:unhideWhenUsed/>
    <w:rsid w:val="00377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944">
      <w:bodyDiv w:val="1"/>
      <w:marLeft w:val="0"/>
      <w:marRight w:val="0"/>
      <w:marTop w:val="0"/>
      <w:marBottom w:val="0"/>
      <w:divBdr>
        <w:top w:val="none" w:sz="0" w:space="0" w:color="auto"/>
        <w:left w:val="none" w:sz="0" w:space="0" w:color="auto"/>
        <w:bottom w:val="none" w:sz="0" w:space="0" w:color="auto"/>
        <w:right w:val="none" w:sz="0" w:space="0" w:color="auto"/>
      </w:divBdr>
    </w:div>
    <w:div w:id="67268641">
      <w:bodyDiv w:val="1"/>
      <w:marLeft w:val="0"/>
      <w:marRight w:val="0"/>
      <w:marTop w:val="0"/>
      <w:marBottom w:val="0"/>
      <w:divBdr>
        <w:top w:val="none" w:sz="0" w:space="0" w:color="auto"/>
        <w:left w:val="none" w:sz="0" w:space="0" w:color="auto"/>
        <w:bottom w:val="none" w:sz="0" w:space="0" w:color="auto"/>
        <w:right w:val="none" w:sz="0" w:space="0" w:color="auto"/>
      </w:divBdr>
    </w:div>
    <w:div w:id="70392978">
      <w:bodyDiv w:val="1"/>
      <w:marLeft w:val="0"/>
      <w:marRight w:val="0"/>
      <w:marTop w:val="0"/>
      <w:marBottom w:val="0"/>
      <w:divBdr>
        <w:top w:val="none" w:sz="0" w:space="0" w:color="auto"/>
        <w:left w:val="none" w:sz="0" w:space="0" w:color="auto"/>
        <w:bottom w:val="none" w:sz="0" w:space="0" w:color="auto"/>
        <w:right w:val="none" w:sz="0" w:space="0" w:color="auto"/>
      </w:divBdr>
    </w:div>
    <w:div w:id="166751795">
      <w:bodyDiv w:val="1"/>
      <w:marLeft w:val="0"/>
      <w:marRight w:val="0"/>
      <w:marTop w:val="0"/>
      <w:marBottom w:val="0"/>
      <w:divBdr>
        <w:top w:val="none" w:sz="0" w:space="0" w:color="auto"/>
        <w:left w:val="none" w:sz="0" w:space="0" w:color="auto"/>
        <w:bottom w:val="none" w:sz="0" w:space="0" w:color="auto"/>
        <w:right w:val="none" w:sz="0" w:space="0" w:color="auto"/>
      </w:divBdr>
    </w:div>
    <w:div w:id="179512735">
      <w:bodyDiv w:val="1"/>
      <w:marLeft w:val="0"/>
      <w:marRight w:val="0"/>
      <w:marTop w:val="0"/>
      <w:marBottom w:val="0"/>
      <w:divBdr>
        <w:top w:val="none" w:sz="0" w:space="0" w:color="auto"/>
        <w:left w:val="none" w:sz="0" w:space="0" w:color="auto"/>
        <w:bottom w:val="none" w:sz="0" w:space="0" w:color="auto"/>
        <w:right w:val="none" w:sz="0" w:space="0" w:color="auto"/>
      </w:divBdr>
    </w:div>
    <w:div w:id="300497671">
      <w:bodyDiv w:val="1"/>
      <w:marLeft w:val="0"/>
      <w:marRight w:val="0"/>
      <w:marTop w:val="0"/>
      <w:marBottom w:val="0"/>
      <w:divBdr>
        <w:top w:val="none" w:sz="0" w:space="0" w:color="auto"/>
        <w:left w:val="none" w:sz="0" w:space="0" w:color="auto"/>
        <w:bottom w:val="none" w:sz="0" w:space="0" w:color="auto"/>
        <w:right w:val="none" w:sz="0" w:space="0" w:color="auto"/>
      </w:divBdr>
    </w:div>
    <w:div w:id="309477452">
      <w:bodyDiv w:val="1"/>
      <w:marLeft w:val="0"/>
      <w:marRight w:val="0"/>
      <w:marTop w:val="0"/>
      <w:marBottom w:val="0"/>
      <w:divBdr>
        <w:top w:val="none" w:sz="0" w:space="0" w:color="auto"/>
        <w:left w:val="none" w:sz="0" w:space="0" w:color="auto"/>
        <w:bottom w:val="none" w:sz="0" w:space="0" w:color="auto"/>
        <w:right w:val="none" w:sz="0" w:space="0" w:color="auto"/>
      </w:divBdr>
    </w:div>
    <w:div w:id="314333411">
      <w:bodyDiv w:val="1"/>
      <w:marLeft w:val="0"/>
      <w:marRight w:val="0"/>
      <w:marTop w:val="0"/>
      <w:marBottom w:val="0"/>
      <w:divBdr>
        <w:top w:val="none" w:sz="0" w:space="0" w:color="auto"/>
        <w:left w:val="none" w:sz="0" w:space="0" w:color="auto"/>
        <w:bottom w:val="none" w:sz="0" w:space="0" w:color="auto"/>
        <w:right w:val="none" w:sz="0" w:space="0" w:color="auto"/>
      </w:divBdr>
    </w:div>
    <w:div w:id="334576145">
      <w:bodyDiv w:val="1"/>
      <w:marLeft w:val="0"/>
      <w:marRight w:val="0"/>
      <w:marTop w:val="0"/>
      <w:marBottom w:val="0"/>
      <w:divBdr>
        <w:top w:val="none" w:sz="0" w:space="0" w:color="auto"/>
        <w:left w:val="none" w:sz="0" w:space="0" w:color="auto"/>
        <w:bottom w:val="none" w:sz="0" w:space="0" w:color="auto"/>
        <w:right w:val="none" w:sz="0" w:space="0" w:color="auto"/>
      </w:divBdr>
    </w:div>
    <w:div w:id="394864693">
      <w:bodyDiv w:val="1"/>
      <w:marLeft w:val="0"/>
      <w:marRight w:val="0"/>
      <w:marTop w:val="0"/>
      <w:marBottom w:val="0"/>
      <w:divBdr>
        <w:top w:val="none" w:sz="0" w:space="0" w:color="auto"/>
        <w:left w:val="none" w:sz="0" w:space="0" w:color="auto"/>
        <w:bottom w:val="none" w:sz="0" w:space="0" w:color="auto"/>
        <w:right w:val="none" w:sz="0" w:space="0" w:color="auto"/>
      </w:divBdr>
    </w:div>
    <w:div w:id="450393351">
      <w:bodyDiv w:val="1"/>
      <w:marLeft w:val="0"/>
      <w:marRight w:val="0"/>
      <w:marTop w:val="0"/>
      <w:marBottom w:val="0"/>
      <w:divBdr>
        <w:top w:val="none" w:sz="0" w:space="0" w:color="auto"/>
        <w:left w:val="none" w:sz="0" w:space="0" w:color="auto"/>
        <w:bottom w:val="none" w:sz="0" w:space="0" w:color="auto"/>
        <w:right w:val="none" w:sz="0" w:space="0" w:color="auto"/>
      </w:divBdr>
    </w:div>
    <w:div w:id="463348742">
      <w:bodyDiv w:val="1"/>
      <w:marLeft w:val="0"/>
      <w:marRight w:val="0"/>
      <w:marTop w:val="0"/>
      <w:marBottom w:val="0"/>
      <w:divBdr>
        <w:top w:val="none" w:sz="0" w:space="0" w:color="auto"/>
        <w:left w:val="none" w:sz="0" w:space="0" w:color="auto"/>
        <w:bottom w:val="none" w:sz="0" w:space="0" w:color="auto"/>
        <w:right w:val="none" w:sz="0" w:space="0" w:color="auto"/>
      </w:divBdr>
    </w:div>
    <w:div w:id="492141350">
      <w:bodyDiv w:val="1"/>
      <w:marLeft w:val="0"/>
      <w:marRight w:val="0"/>
      <w:marTop w:val="0"/>
      <w:marBottom w:val="0"/>
      <w:divBdr>
        <w:top w:val="none" w:sz="0" w:space="0" w:color="auto"/>
        <w:left w:val="none" w:sz="0" w:space="0" w:color="auto"/>
        <w:bottom w:val="none" w:sz="0" w:space="0" w:color="auto"/>
        <w:right w:val="none" w:sz="0" w:space="0" w:color="auto"/>
      </w:divBdr>
    </w:div>
    <w:div w:id="492572563">
      <w:bodyDiv w:val="1"/>
      <w:marLeft w:val="0"/>
      <w:marRight w:val="0"/>
      <w:marTop w:val="0"/>
      <w:marBottom w:val="0"/>
      <w:divBdr>
        <w:top w:val="none" w:sz="0" w:space="0" w:color="auto"/>
        <w:left w:val="none" w:sz="0" w:space="0" w:color="auto"/>
        <w:bottom w:val="none" w:sz="0" w:space="0" w:color="auto"/>
        <w:right w:val="none" w:sz="0" w:space="0" w:color="auto"/>
      </w:divBdr>
    </w:div>
    <w:div w:id="507910848">
      <w:bodyDiv w:val="1"/>
      <w:marLeft w:val="0"/>
      <w:marRight w:val="0"/>
      <w:marTop w:val="0"/>
      <w:marBottom w:val="0"/>
      <w:divBdr>
        <w:top w:val="none" w:sz="0" w:space="0" w:color="auto"/>
        <w:left w:val="none" w:sz="0" w:space="0" w:color="auto"/>
        <w:bottom w:val="none" w:sz="0" w:space="0" w:color="auto"/>
        <w:right w:val="none" w:sz="0" w:space="0" w:color="auto"/>
      </w:divBdr>
    </w:div>
    <w:div w:id="540829673">
      <w:bodyDiv w:val="1"/>
      <w:marLeft w:val="0"/>
      <w:marRight w:val="0"/>
      <w:marTop w:val="0"/>
      <w:marBottom w:val="0"/>
      <w:divBdr>
        <w:top w:val="none" w:sz="0" w:space="0" w:color="auto"/>
        <w:left w:val="none" w:sz="0" w:space="0" w:color="auto"/>
        <w:bottom w:val="none" w:sz="0" w:space="0" w:color="auto"/>
        <w:right w:val="none" w:sz="0" w:space="0" w:color="auto"/>
      </w:divBdr>
    </w:div>
    <w:div w:id="584922079">
      <w:bodyDiv w:val="1"/>
      <w:marLeft w:val="0"/>
      <w:marRight w:val="0"/>
      <w:marTop w:val="0"/>
      <w:marBottom w:val="0"/>
      <w:divBdr>
        <w:top w:val="none" w:sz="0" w:space="0" w:color="auto"/>
        <w:left w:val="none" w:sz="0" w:space="0" w:color="auto"/>
        <w:bottom w:val="none" w:sz="0" w:space="0" w:color="auto"/>
        <w:right w:val="none" w:sz="0" w:space="0" w:color="auto"/>
      </w:divBdr>
    </w:div>
    <w:div w:id="679966332">
      <w:bodyDiv w:val="1"/>
      <w:marLeft w:val="0"/>
      <w:marRight w:val="0"/>
      <w:marTop w:val="0"/>
      <w:marBottom w:val="0"/>
      <w:divBdr>
        <w:top w:val="none" w:sz="0" w:space="0" w:color="auto"/>
        <w:left w:val="none" w:sz="0" w:space="0" w:color="auto"/>
        <w:bottom w:val="none" w:sz="0" w:space="0" w:color="auto"/>
        <w:right w:val="none" w:sz="0" w:space="0" w:color="auto"/>
      </w:divBdr>
    </w:div>
    <w:div w:id="721562991">
      <w:bodyDiv w:val="1"/>
      <w:marLeft w:val="0"/>
      <w:marRight w:val="0"/>
      <w:marTop w:val="0"/>
      <w:marBottom w:val="0"/>
      <w:divBdr>
        <w:top w:val="none" w:sz="0" w:space="0" w:color="auto"/>
        <w:left w:val="none" w:sz="0" w:space="0" w:color="auto"/>
        <w:bottom w:val="none" w:sz="0" w:space="0" w:color="auto"/>
        <w:right w:val="none" w:sz="0" w:space="0" w:color="auto"/>
      </w:divBdr>
    </w:div>
    <w:div w:id="852912437">
      <w:bodyDiv w:val="1"/>
      <w:marLeft w:val="0"/>
      <w:marRight w:val="0"/>
      <w:marTop w:val="0"/>
      <w:marBottom w:val="0"/>
      <w:divBdr>
        <w:top w:val="none" w:sz="0" w:space="0" w:color="auto"/>
        <w:left w:val="none" w:sz="0" w:space="0" w:color="auto"/>
        <w:bottom w:val="none" w:sz="0" w:space="0" w:color="auto"/>
        <w:right w:val="none" w:sz="0" w:space="0" w:color="auto"/>
      </w:divBdr>
    </w:div>
    <w:div w:id="856819054">
      <w:bodyDiv w:val="1"/>
      <w:marLeft w:val="0"/>
      <w:marRight w:val="0"/>
      <w:marTop w:val="0"/>
      <w:marBottom w:val="0"/>
      <w:divBdr>
        <w:top w:val="none" w:sz="0" w:space="0" w:color="auto"/>
        <w:left w:val="none" w:sz="0" w:space="0" w:color="auto"/>
        <w:bottom w:val="none" w:sz="0" w:space="0" w:color="auto"/>
        <w:right w:val="none" w:sz="0" w:space="0" w:color="auto"/>
      </w:divBdr>
    </w:div>
    <w:div w:id="863127436">
      <w:bodyDiv w:val="1"/>
      <w:marLeft w:val="0"/>
      <w:marRight w:val="0"/>
      <w:marTop w:val="0"/>
      <w:marBottom w:val="0"/>
      <w:divBdr>
        <w:top w:val="none" w:sz="0" w:space="0" w:color="auto"/>
        <w:left w:val="none" w:sz="0" w:space="0" w:color="auto"/>
        <w:bottom w:val="none" w:sz="0" w:space="0" w:color="auto"/>
        <w:right w:val="none" w:sz="0" w:space="0" w:color="auto"/>
      </w:divBdr>
    </w:div>
    <w:div w:id="890312145">
      <w:bodyDiv w:val="1"/>
      <w:marLeft w:val="0"/>
      <w:marRight w:val="0"/>
      <w:marTop w:val="0"/>
      <w:marBottom w:val="0"/>
      <w:divBdr>
        <w:top w:val="none" w:sz="0" w:space="0" w:color="auto"/>
        <w:left w:val="none" w:sz="0" w:space="0" w:color="auto"/>
        <w:bottom w:val="none" w:sz="0" w:space="0" w:color="auto"/>
        <w:right w:val="none" w:sz="0" w:space="0" w:color="auto"/>
      </w:divBdr>
      <w:divsChild>
        <w:div w:id="913971703">
          <w:marLeft w:val="547"/>
          <w:marRight w:val="0"/>
          <w:marTop w:val="72"/>
          <w:marBottom w:val="0"/>
          <w:divBdr>
            <w:top w:val="none" w:sz="0" w:space="0" w:color="auto"/>
            <w:left w:val="none" w:sz="0" w:space="0" w:color="auto"/>
            <w:bottom w:val="none" w:sz="0" w:space="0" w:color="auto"/>
            <w:right w:val="none" w:sz="0" w:space="0" w:color="auto"/>
          </w:divBdr>
        </w:div>
        <w:div w:id="1193106744">
          <w:marLeft w:val="547"/>
          <w:marRight w:val="0"/>
          <w:marTop w:val="72"/>
          <w:marBottom w:val="0"/>
          <w:divBdr>
            <w:top w:val="none" w:sz="0" w:space="0" w:color="auto"/>
            <w:left w:val="none" w:sz="0" w:space="0" w:color="auto"/>
            <w:bottom w:val="none" w:sz="0" w:space="0" w:color="auto"/>
            <w:right w:val="none" w:sz="0" w:space="0" w:color="auto"/>
          </w:divBdr>
        </w:div>
      </w:divsChild>
    </w:div>
    <w:div w:id="956831203">
      <w:bodyDiv w:val="1"/>
      <w:marLeft w:val="0"/>
      <w:marRight w:val="0"/>
      <w:marTop w:val="0"/>
      <w:marBottom w:val="0"/>
      <w:divBdr>
        <w:top w:val="none" w:sz="0" w:space="0" w:color="auto"/>
        <w:left w:val="none" w:sz="0" w:space="0" w:color="auto"/>
        <w:bottom w:val="none" w:sz="0" w:space="0" w:color="auto"/>
        <w:right w:val="none" w:sz="0" w:space="0" w:color="auto"/>
      </w:divBdr>
    </w:div>
    <w:div w:id="979655797">
      <w:bodyDiv w:val="1"/>
      <w:marLeft w:val="0"/>
      <w:marRight w:val="0"/>
      <w:marTop w:val="0"/>
      <w:marBottom w:val="0"/>
      <w:divBdr>
        <w:top w:val="none" w:sz="0" w:space="0" w:color="auto"/>
        <w:left w:val="none" w:sz="0" w:space="0" w:color="auto"/>
        <w:bottom w:val="none" w:sz="0" w:space="0" w:color="auto"/>
        <w:right w:val="none" w:sz="0" w:space="0" w:color="auto"/>
      </w:divBdr>
    </w:div>
    <w:div w:id="1015418521">
      <w:bodyDiv w:val="1"/>
      <w:marLeft w:val="0"/>
      <w:marRight w:val="0"/>
      <w:marTop w:val="0"/>
      <w:marBottom w:val="0"/>
      <w:divBdr>
        <w:top w:val="none" w:sz="0" w:space="0" w:color="auto"/>
        <w:left w:val="none" w:sz="0" w:space="0" w:color="auto"/>
        <w:bottom w:val="none" w:sz="0" w:space="0" w:color="auto"/>
        <w:right w:val="none" w:sz="0" w:space="0" w:color="auto"/>
      </w:divBdr>
    </w:div>
    <w:div w:id="1029912220">
      <w:bodyDiv w:val="1"/>
      <w:marLeft w:val="0"/>
      <w:marRight w:val="0"/>
      <w:marTop w:val="0"/>
      <w:marBottom w:val="0"/>
      <w:divBdr>
        <w:top w:val="none" w:sz="0" w:space="0" w:color="auto"/>
        <w:left w:val="none" w:sz="0" w:space="0" w:color="auto"/>
        <w:bottom w:val="none" w:sz="0" w:space="0" w:color="auto"/>
        <w:right w:val="none" w:sz="0" w:space="0" w:color="auto"/>
      </w:divBdr>
    </w:div>
    <w:div w:id="1037782082">
      <w:bodyDiv w:val="1"/>
      <w:marLeft w:val="0"/>
      <w:marRight w:val="0"/>
      <w:marTop w:val="0"/>
      <w:marBottom w:val="0"/>
      <w:divBdr>
        <w:top w:val="none" w:sz="0" w:space="0" w:color="auto"/>
        <w:left w:val="none" w:sz="0" w:space="0" w:color="auto"/>
        <w:bottom w:val="none" w:sz="0" w:space="0" w:color="auto"/>
        <w:right w:val="none" w:sz="0" w:space="0" w:color="auto"/>
      </w:divBdr>
    </w:div>
    <w:div w:id="1101607186">
      <w:bodyDiv w:val="1"/>
      <w:marLeft w:val="0"/>
      <w:marRight w:val="0"/>
      <w:marTop w:val="0"/>
      <w:marBottom w:val="0"/>
      <w:divBdr>
        <w:top w:val="none" w:sz="0" w:space="0" w:color="auto"/>
        <w:left w:val="none" w:sz="0" w:space="0" w:color="auto"/>
        <w:bottom w:val="none" w:sz="0" w:space="0" w:color="auto"/>
        <w:right w:val="none" w:sz="0" w:space="0" w:color="auto"/>
      </w:divBdr>
    </w:div>
    <w:div w:id="1114128098">
      <w:bodyDiv w:val="1"/>
      <w:marLeft w:val="0"/>
      <w:marRight w:val="0"/>
      <w:marTop w:val="0"/>
      <w:marBottom w:val="0"/>
      <w:divBdr>
        <w:top w:val="none" w:sz="0" w:space="0" w:color="auto"/>
        <w:left w:val="none" w:sz="0" w:space="0" w:color="auto"/>
        <w:bottom w:val="none" w:sz="0" w:space="0" w:color="auto"/>
        <w:right w:val="none" w:sz="0" w:space="0" w:color="auto"/>
      </w:divBdr>
    </w:div>
    <w:div w:id="1140075535">
      <w:bodyDiv w:val="1"/>
      <w:marLeft w:val="0"/>
      <w:marRight w:val="0"/>
      <w:marTop w:val="0"/>
      <w:marBottom w:val="0"/>
      <w:divBdr>
        <w:top w:val="none" w:sz="0" w:space="0" w:color="auto"/>
        <w:left w:val="none" w:sz="0" w:space="0" w:color="auto"/>
        <w:bottom w:val="none" w:sz="0" w:space="0" w:color="auto"/>
        <w:right w:val="none" w:sz="0" w:space="0" w:color="auto"/>
      </w:divBdr>
    </w:div>
    <w:div w:id="1159493594">
      <w:bodyDiv w:val="1"/>
      <w:marLeft w:val="0"/>
      <w:marRight w:val="0"/>
      <w:marTop w:val="0"/>
      <w:marBottom w:val="0"/>
      <w:divBdr>
        <w:top w:val="none" w:sz="0" w:space="0" w:color="auto"/>
        <w:left w:val="none" w:sz="0" w:space="0" w:color="auto"/>
        <w:bottom w:val="none" w:sz="0" w:space="0" w:color="auto"/>
        <w:right w:val="none" w:sz="0" w:space="0" w:color="auto"/>
      </w:divBdr>
    </w:div>
    <w:div w:id="1178734040">
      <w:bodyDiv w:val="1"/>
      <w:marLeft w:val="0"/>
      <w:marRight w:val="0"/>
      <w:marTop w:val="0"/>
      <w:marBottom w:val="0"/>
      <w:divBdr>
        <w:top w:val="none" w:sz="0" w:space="0" w:color="auto"/>
        <w:left w:val="none" w:sz="0" w:space="0" w:color="auto"/>
        <w:bottom w:val="none" w:sz="0" w:space="0" w:color="auto"/>
        <w:right w:val="none" w:sz="0" w:space="0" w:color="auto"/>
      </w:divBdr>
    </w:div>
    <w:div w:id="1182205865">
      <w:bodyDiv w:val="1"/>
      <w:marLeft w:val="0"/>
      <w:marRight w:val="0"/>
      <w:marTop w:val="0"/>
      <w:marBottom w:val="0"/>
      <w:divBdr>
        <w:top w:val="none" w:sz="0" w:space="0" w:color="auto"/>
        <w:left w:val="none" w:sz="0" w:space="0" w:color="auto"/>
        <w:bottom w:val="none" w:sz="0" w:space="0" w:color="auto"/>
        <w:right w:val="none" w:sz="0" w:space="0" w:color="auto"/>
      </w:divBdr>
    </w:div>
    <w:div w:id="1208223801">
      <w:bodyDiv w:val="1"/>
      <w:marLeft w:val="0"/>
      <w:marRight w:val="0"/>
      <w:marTop w:val="0"/>
      <w:marBottom w:val="0"/>
      <w:divBdr>
        <w:top w:val="none" w:sz="0" w:space="0" w:color="auto"/>
        <w:left w:val="none" w:sz="0" w:space="0" w:color="auto"/>
        <w:bottom w:val="none" w:sz="0" w:space="0" w:color="auto"/>
        <w:right w:val="none" w:sz="0" w:space="0" w:color="auto"/>
      </w:divBdr>
    </w:div>
    <w:div w:id="1234244987">
      <w:bodyDiv w:val="1"/>
      <w:marLeft w:val="0"/>
      <w:marRight w:val="0"/>
      <w:marTop w:val="0"/>
      <w:marBottom w:val="0"/>
      <w:divBdr>
        <w:top w:val="none" w:sz="0" w:space="0" w:color="auto"/>
        <w:left w:val="none" w:sz="0" w:space="0" w:color="auto"/>
        <w:bottom w:val="none" w:sz="0" w:space="0" w:color="auto"/>
        <w:right w:val="none" w:sz="0" w:space="0" w:color="auto"/>
      </w:divBdr>
    </w:div>
    <w:div w:id="1244995496">
      <w:bodyDiv w:val="1"/>
      <w:marLeft w:val="0"/>
      <w:marRight w:val="0"/>
      <w:marTop w:val="0"/>
      <w:marBottom w:val="0"/>
      <w:divBdr>
        <w:top w:val="none" w:sz="0" w:space="0" w:color="auto"/>
        <w:left w:val="none" w:sz="0" w:space="0" w:color="auto"/>
        <w:bottom w:val="none" w:sz="0" w:space="0" w:color="auto"/>
        <w:right w:val="none" w:sz="0" w:space="0" w:color="auto"/>
      </w:divBdr>
    </w:div>
    <w:div w:id="1247610838">
      <w:bodyDiv w:val="1"/>
      <w:marLeft w:val="0"/>
      <w:marRight w:val="0"/>
      <w:marTop w:val="0"/>
      <w:marBottom w:val="0"/>
      <w:divBdr>
        <w:top w:val="none" w:sz="0" w:space="0" w:color="auto"/>
        <w:left w:val="none" w:sz="0" w:space="0" w:color="auto"/>
        <w:bottom w:val="none" w:sz="0" w:space="0" w:color="auto"/>
        <w:right w:val="none" w:sz="0" w:space="0" w:color="auto"/>
      </w:divBdr>
    </w:div>
    <w:div w:id="1274634693">
      <w:bodyDiv w:val="1"/>
      <w:marLeft w:val="0"/>
      <w:marRight w:val="0"/>
      <w:marTop w:val="0"/>
      <w:marBottom w:val="0"/>
      <w:divBdr>
        <w:top w:val="none" w:sz="0" w:space="0" w:color="auto"/>
        <w:left w:val="none" w:sz="0" w:space="0" w:color="auto"/>
        <w:bottom w:val="none" w:sz="0" w:space="0" w:color="auto"/>
        <w:right w:val="none" w:sz="0" w:space="0" w:color="auto"/>
      </w:divBdr>
    </w:div>
    <w:div w:id="1309019925">
      <w:bodyDiv w:val="1"/>
      <w:marLeft w:val="0"/>
      <w:marRight w:val="0"/>
      <w:marTop w:val="0"/>
      <w:marBottom w:val="0"/>
      <w:divBdr>
        <w:top w:val="none" w:sz="0" w:space="0" w:color="auto"/>
        <w:left w:val="none" w:sz="0" w:space="0" w:color="auto"/>
        <w:bottom w:val="none" w:sz="0" w:space="0" w:color="auto"/>
        <w:right w:val="none" w:sz="0" w:space="0" w:color="auto"/>
      </w:divBdr>
    </w:div>
    <w:div w:id="1359964946">
      <w:bodyDiv w:val="1"/>
      <w:marLeft w:val="0"/>
      <w:marRight w:val="0"/>
      <w:marTop w:val="0"/>
      <w:marBottom w:val="0"/>
      <w:divBdr>
        <w:top w:val="none" w:sz="0" w:space="0" w:color="auto"/>
        <w:left w:val="none" w:sz="0" w:space="0" w:color="auto"/>
        <w:bottom w:val="none" w:sz="0" w:space="0" w:color="auto"/>
        <w:right w:val="none" w:sz="0" w:space="0" w:color="auto"/>
      </w:divBdr>
    </w:div>
    <w:div w:id="1368944733">
      <w:bodyDiv w:val="1"/>
      <w:marLeft w:val="0"/>
      <w:marRight w:val="0"/>
      <w:marTop w:val="0"/>
      <w:marBottom w:val="0"/>
      <w:divBdr>
        <w:top w:val="none" w:sz="0" w:space="0" w:color="auto"/>
        <w:left w:val="none" w:sz="0" w:space="0" w:color="auto"/>
        <w:bottom w:val="none" w:sz="0" w:space="0" w:color="auto"/>
        <w:right w:val="none" w:sz="0" w:space="0" w:color="auto"/>
      </w:divBdr>
    </w:div>
    <w:div w:id="1391155741">
      <w:bodyDiv w:val="1"/>
      <w:marLeft w:val="0"/>
      <w:marRight w:val="0"/>
      <w:marTop w:val="0"/>
      <w:marBottom w:val="0"/>
      <w:divBdr>
        <w:top w:val="none" w:sz="0" w:space="0" w:color="auto"/>
        <w:left w:val="none" w:sz="0" w:space="0" w:color="auto"/>
        <w:bottom w:val="none" w:sz="0" w:space="0" w:color="auto"/>
        <w:right w:val="none" w:sz="0" w:space="0" w:color="auto"/>
      </w:divBdr>
    </w:div>
    <w:div w:id="1426267211">
      <w:bodyDiv w:val="1"/>
      <w:marLeft w:val="0"/>
      <w:marRight w:val="0"/>
      <w:marTop w:val="0"/>
      <w:marBottom w:val="0"/>
      <w:divBdr>
        <w:top w:val="none" w:sz="0" w:space="0" w:color="auto"/>
        <w:left w:val="none" w:sz="0" w:space="0" w:color="auto"/>
        <w:bottom w:val="none" w:sz="0" w:space="0" w:color="auto"/>
        <w:right w:val="none" w:sz="0" w:space="0" w:color="auto"/>
      </w:divBdr>
    </w:div>
    <w:div w:id="1444374073">
      <w:bodyDiv w:val="1"/>
      <w:marLeft w:val="0"/>
      <w:marRight w:val="0"/>
      <w:marTop w:val="0"/>
      <w:marBottom w:val="0"/>
      <w:divBdr>
        <w:top w:val="none" w:sz="0" w:space="0" w:color="auto"/>
        <w:left w:val="none" w:sz="0" w:space="0" w:color="auto"/>
        <w:bottom w:val="none" w:sz="0" w:space="0" w:color="auto"/>
        <w:right w:val="none" w:sz="0" w:space="0" w:color="auto"/>
      </w:divBdr>
    </w:div>
    <w:div w:id="1451049310">
      <w:bodyDiv w:val="1"/>
      <w:marLeft w:val="0"/>
      <w:marRight w:val="0"/>
      <w:marTop w:val="0"/>
      <w:marBottom w:val="0"/>
      <w:divBdr>
        <w:top w:val="none" w:sz="0" w:space="0" w:color="auto"/>
        <w:left w:val="none" w:sz="0" w:space="0" w:color="auto"/>
        <w:bottom w:val="none" w:sz="0" w:space="0" w:color="auto"/>
        <w:right w:val="none" w:sz="0" w:space="0" w:color="auto"/>
      </w:divBdr>
    </w:div>
    <w:div w:id="1461803663">
      <w:bodyDiv w:val="1"/>
      <w:marLeft w:val="0"/>
      <w:marRight w:val="0"/>
      <w:marTop w:val="0"/>
      <w:marBottom w:val="0"/>
      <w:divBdr>
        <w:top w:val="none" w:sz="0" w:space="0" w:color="auto"/>
        <w:left w:val="none" w:sz="0" w:space="0" w:color="auto"/>
        <w:bottom w:val="none" w:sz="0" w:space="0" w:color="auto"/>
        <w:right w:val="none" w:sz="0" w:space="0" w:color="auto"/>
      </w:divBdr>
    </w:div>
    <w:div w:id="1484159840">
      <w:bodyDiv w:val="1"/>
      <w:marLeft w:val="0"/>
      <w:marRight w:val="0"/>
      <w:marTop w:val="0"/>
      <w:marBottom w:val="0"/>
      <w:divBdr>
        <w:top w:val="none" w:sz="0" w:space="0" w:color="auto"/>
        <w:left w:val="none" w:sz="0" w:space="0" w:color="auto"/>
        <w:bottom w:val="none" w:sz="0" w:space="0" w:color="auto"/>
        <w:right w:val="none" w:sz="0" w:space="0" w:color="auto"/>
      </w:divBdr>
    </w:div>
    <w:div w:id="1512791376">
      <w:bodyDiv w:val="1"/>
      <w:marLeft w:val="0"/>
      <w:marRight w:val="0"/>
      <w:marTop w:val="0"/>
      <w:marBottom w:val="0"/>
      <w:divBdr>
        <w:top w:val="none" w:sz="0" w:space="0" w:color="auto"/>
        <w:left w:val="none" w:sz="0" w:space="0" w:color="auto"/>
        <w:bottom w:val="none" w:sz="0" w:space="0" w:color="auto"/>
        <w:right w:val="none" w:sz="0" w:space="0" w:color="auto"/>
      </w:divBdr>
    </w:div>
    <w:div w:id="1540049352">
      <w:bodyDiv w:val="1"/>
      <w:marLeft w:val="0"/>
      <w:marRight w:val="0"/>
      <w:marTop w:val="0"/>
      <w:marBottom w:val="0"/>
      <w:divBdr>
        <w:top w:val="none" w:sz="0" w:space="0" w:color="auto"/>
        <w:left w:val="none" w:sz="0" w:space="0" w:color="auto"/>
        <w:bottom w:val="none" w:sz="0" w:space="0" w:color="auto"/>
        <w:right w:val="none" w:sz="0" w:space="0" w:color="auto"/>
      </w:divBdr>
    </w:div>
    <w:div w:id="1555116777">
      <w:bodyDiv w:val="1"/>
      <w:marLeft w:val="0"/>
      <w:marRight w:val="0"/>
      <w:marTop w:val="0"/>
      <w:marBottom w:val="0"/>
      <w:divBdr>
        <w:top w:val="none" w:sz="0" w:space="0" w:color="auto"/>
        <w:left w:val="none" w:sz="0" w:space="0" w:color="auto"/>
        <w:bottom w:val="none" w:sz="0" w:space="0" w:color="auto"/>
        <w:right w:val="none" w:sz="0" w:space="0" w:color="auto"/>
      </w:divBdr>
    </w:div>
    <w:div w:id="1603299856">
      <w:bodyDiv w:val="1"/>
      <w:marLeft w:val="0"/>
      <w:marRight w:val="0"/>
      <w:marTop w:val="0"/>
      <w:marBottom w:val="0"/>
      <w:divBdr>
        <w:top w:val="none" w:sz="0" w:space="0" w:color="auto"/>
        <w:left w:val="none" w:sz="0" w:space="0" w:color="auto"/>
        <w:bottom w:val="none" w:sz="0" w:space="0" w:color="auto"/>
        <w:right w:val="none" w:sz="0" w:space="0" w:color="auto"/>
      </w:divBdr>
    </w:div>
    <w:div w:id="1626081756">
      <w:bodyDiv w:val="1"/>
      <w:marLeft w:val="0"/>
      <w:marRight w:val="0"/>
      <w:marTop w:val="0"/>
      <w:marBottom w:val="0"/>
      <w:divBdr>
        <w:top w:val="none" w:sz="0" w:space="0" w:color="auto"/>
        <w:left w:val="none" w:sz="0" w:space="0" w:color="auto"/>
        <w:bottom w:val="none" w:sz="0" w:space="0" w:color="auto"/>
        <w:right w:val="none" w:sz="0" w:space="0" w:color="auto"/>
      </w:divBdr>
    </w:div>
    <w:div w:id="1644387469">
      <w:bodyDiv w:val="1"/>
      <w:marLeft w:val="0"/>
      <w:marRight w:val="0"/>
      <w:marTop w:val="0"/>
      <w:marBottom w:val="0"/>
      <w:divBdr>
        <w:top w:val="none" w:sz="0" w:space="0" w:color="auto"/>
        <w:left w:val="none" w:sz="0" w:space="0" w:color="auto"/>
        <w:bottom w:val="none" w:sz="0" w:space="0" w:color="auto"/>
        <w:right w:val="none" w:sz="0" w:space="0" w:color="auto"/>
      </w:divBdr>
    </w:div>
    <w:div w:id="1685595046">
      <w:bodyDiv w:val="1"/>
      <w:marLeft w:val="0"/>
      <w:marRight w:val="0"/>
      <w:marTop w:val="0"/>
      <w:marBottom w:val="0"/>
      <w:divBdr>
        <w:top w:val="none" w:sz="0" w:space="0" w:color="auto"/>
        <w:left w:val="none" w:sz="0" w:space="0" w:color="auto"/>
        <w:bottom w:val="none" w:sz="0" w:space="0" w:color="auto"/>
        <w:right w:val="none" w:sz="0" w:space="0" w:color="auto"/>
      </w:divBdr>
    </w:div>
    <w:div w:id="1708947883">
      <w:bodyDiv w:val="1"/>
      <w:marLeft w:val="0"/>
      <w:marRight w:val="0"/>
      <w:marTop w:val="0"/>
      <w:marBottom w:val="0"/>
      <w:divBdr>
        <w:top w:val="none" w:sz="0" w:space="0" w:color="auto"/>
        <w:left w:val="none" w:sz="0" w:space="0" w:color="auto"/>
        <w:bottom w:val="none" w:sz="0" w:space="0" w:color="auto"/>
        <w:right w:val="none" w:sz="0" w:space="0" w:color="auto"/>
      </w:divBdr>
    </w:div>
    <w:div w:id="1758671054">
      <w:bodyDiv w:val="1"/>
      <w:marLeft w:val="0"/>
      <w:marRight w:val="0"/>
      <w:marTop w:val="0"/>
      <w:marBottom w:val="0"/>
      <w:divBdr>
        <w:top w:val="none" w:sz="0" w:space="0" w:color="auto"/>
        <w:left w:val="none" w:sz="0" w:space="0" w:color="auto"/>
        <w:bottom w:val="none" w:sz="0" w:space="0" w:color="auto"/>
        <w:right w:val="none" w:sz="0" w:space="0" w:color="auto"/>
      </w:divBdr>
    </w:div>
    <w:div w:id="1789272642">
      <w:bodyDiv w:val="1"/>
      <w:marLeft w:val="0"/>
      <w:marRight w:val="0"/>
      <w:marTop w:val="0"/>
      <w:marBottom w:val="0"/>
      <w:divBdr>
        <w:top w:val="none" w:sz="0" w:space="0" w:color="auto"/>
        <w:left w:val="none" w:sz="0" w:space="0" w:color="auto"/>
        <w:bottom w:val="none" w:sz="0" w:space="0" w:color="auto"/>
        <w:right w:val="none" w:sz="0" w:space="0" w:color="auto"/>
      </w:divBdr>
      <w:divsChild>
        <w:div w:id="170990322">
          <w:marLeft w:val="446"/>
          <w:marRight w:val="0"/>
          <w:marTop w:val="72"/>
          <w:marBottom w:val="0"/>
          <w:divBdr>
            <w:top w:val="none" w:sz="0" w:space="0" w:color="auto"/>
            <w:left w:val="none" w:sz="0" w:space="0" w:color="auto"/>
            <w:bottom w:val="none" w:sz="0" w:space="0" w:color="auto"/>
            <w:right w:val="none" w:sz="0" w:space="0" w:color="auto"/>
          </w:divBdr>
        </w:div>
        <w:div w:id="1588270214">
          <w:marLeft w:val="446"/>
          <w:marRight w:val="0"/>
          <w:marTop w:val="72"/>
          <w:marBottom w:val="0"/>
          <w:divBdr>
            <w:top w:val="none" w:sz="0" w:space="0" w:color="auto"/>
            <w:left w:val="none" w:sz="0" w:space="0" w:color="auto"/>
            <w:bottom w:val="none" w:sz="0" w:space="0" w:color="auto"/>
            <w:right w:val="none" w:sz="0" w:space="0" w:color="auto"/>
          </w:divBdr>
        </w:div>
      </w:divsChild>
    </w:div>
    <w:div w:id="1824615317">
      <w:bodyDiv w:val="1"/>
      <w:marLeft w:val="0"/>
      <w:marRight w:val="0"/>
      <w:marTop w:val="0"/>
      <w:marBottom w:val="0"/>
      <w:divBdr>
        <w:top w:val="none" w:sz="0" w:space="0" w:color="auto"/>
        <w:left w:val="none" w:sz="0" w:space="0" w:color="auto"/>
        <w:bottom w:val="none" w:sz="0" w:space="0" w:color="auto"/>
        <w:right w:val="none" w:sz="0" w:space="0" w:color="auto"/>
      </w:divBdr>
    </w:div>
    <w:div w:id="1827819298">
      <w:bodyDiv w:val="1"/>
      <w:marLeft w:val="0"/>
      <w:marRight w:val="0"/>
      <w:marTop w:val="0"/>
      <w:marBottom w:val="0"/>
      <w:divBdr>
        <w:top w:val="none" w:sz="0" w:space="0" w:color="auto"/>
        <w:left w:val="none" w:sz="0" w:space="0" w:color="auto"/>
        <w:bottom w:val="none" w:sz="0" w:space="0" w:color="auto"/>
        <w:right w:val="none" w:sz="0" w:space="0" w:color="auto"/>
      </w:divBdr>
    </w:div>
    <w:div w:id="1868060672">
      <w:bodyDiv w:val="1"/>
      <w:marLeft w:val="0"/>
      <w:marRight w:val="0"/>
      <w:marTop w:val="0"/>
      <w:marBottom w:val="0"/>
      <w:divBdr>
        <w:top w:val="none" w:sz="0" w:space="0" w:color="auto"/>
        <w:left w:val="none" w:sz="0" w:space="0" w:color="auto"/>
        <w:bottom w:val="none" w:sz="0" w:space="0" w:color="auto"/>
        <w:right w:val="none" w:sz="0" w:space="0" w:color="auto"/>
      </w:divBdr>
    </w:div>
    <w:div w:id="1873373640">
      <w:bodyDiv w:val="1"/>
      <w:marLeft w:val="0"/>
      <w:marRight w:val="0"/>
      <w:marTop w:val="0"/>
      <w:marBottom w:val="0"/>
      <w:divBdr>
        <w:top w:val="none" w:sz="0" w:space="0" w:color="auto"/>
        <w:left w:val="none" w:sz="0" w:space="0" w:color="auto"/>
        <w:bottom w:val="none" w:sz="0" w:space="0" w:color="auto"/>
        <w:right w:val="none" w:sz="0" w:space="0" w:color="auto"/>
      </w:divBdr>
    </w:div>
    <w:div w:id="1887792228">
      <w:bodyDiv w:val="1"/>
      <w:marLeft w:val="0"/>
      <w:marRight w:val="0"/>
      <w:marTop w:val="0"/>
      <w:marBottom w:val="0"/>
      <w:divBdr>
        <w:top w:val="none" w:sz="0" w:space="0" w:color="auto"/>
        <w:left w:val="none" w:sz="0" w:space="0" w:color="auto"/>
        <w:bottom w:val="none" w:sz="0" w:space="0" w:color="auto"/>
        <w:right w:val="none" w:sz="0" w:space="0" w:color="auto"/>
      </w:divBdr>
    </w:div>
    <w:div w:id="1898278380">
      <w:bodyDiv w:val="1"/>
      <w:marLeft w:val="0"/>
      <w:marRight w:val="0"/>
      <w:marTop w:val="0"/>
      <w:marBottom w:val="0"/>
      <w:divBdr>
        <w:top w:val="none" w:sz="0" w:space="0" w:color="auto"/>
        <w:left w:val="none" w:sz="0" w:space="0" w:color="auto"/>
        <w:bottom w:val="none" w:sz="0" w:space="0" w:color="auto"/>
        <w:right w:val="none" w:sz="0" w:space="0" w:color="auto"/>
      </w:divBdr>
    </w:div>
    <w:div w:id="1901016926">
      <w:bodyDiv w:val="1"/>
      <w:marLeft w:val="0"/>
      <w:marRight w:val="0"/>
      <w:marTop w:val="0"/>
      <w:marBottom w:val="0"/>
      <w:divBdr>
        <w:top w:val="none" w:sz="0" w:space="0" w:color="auto"/>
        <w:left w:val="none" w:sz="0" w:space="0" w:color="auto"/>
        <w:bottom w:val="none" w:sz="0" w:space="0" w:color="auto"/>
        <w:right w:val="none" w:sz="0" w:space="0" w:color="auto"/>
      </w:divBdr>
    </w:div>
    <w:div w:id="1929339792">
      <w:bodyDiv w:val="1"/>
      <w:marLeft w:val="0"/>
      <w:marRight w:val="0"/>
      <w:marTop w:val="0"/>
      <w:marBottom w:val="0"/>
      <w:divBdr>
        <w:top w:val="none" w:sz="0" w:space="0" w:color="auto"/>
        <w:left w:val="none" w:sz="0" w:space="0" w:color="auto"/>
        <w:bottom w:val="none" w:sz="0" w:space="0" w:color="auto"/>
        <w:right w:val="none" w:sz="0" w:space="0" w:color="auto"/>
      </w:divBdr>
    </w:div>
    <w:div w:id="1929465939">
      <w:bodyDiv w:val="1"/>
      <w:marLeft w:val="0"/>
      <w:marRight w:val="0"/>
      <w:marTop w:val="0"/>
      <w:marBottom w:val="0"/>
      <w:divBdr>
        <w:top w:val="none" w:sz="0" w:space="0" w:color="auto"/>
        <w:left w:val="none" w:sz="0" w:space="0" w:color="auto"/>
        <w:bottom w:val="none" w:sz="0" w:space="0" w:color="auto"/>
        <w:right w:val="none" w:sz="0" w:space="0" w:color="auto"/>
      </w:divBdr>
    </w:div>
    <w:div w:id="1963533826">
      <w:bodyDiv w:val="1"/>
      <w:marLeft w:val="0"/>
      <w:marRight w:val="0"/>
      <w:marTop w:val="0"/>
      <w:marBottom w:val="0"/>
      <w:divBdr>
        <w:top w:val="none" w:sz="0" w:space="0" w:color="auto"/>
        <w:left w:val="none" w:sz="0" w:space="0" w:color="auto"/>
        <w:bottom w:val="none" w:sz="0" w:space="0" w:color="auto"/>
        <w:right w:val="none" w:sz="0" w:space="0" w:color="auto"/>
      </w:divBdr>
    </w:div>
    <w:div w:id="1977561654">
      <w:bodyDiv w:val="1"/>
      <w:marLeft w:val="0"/>
      <w:marRight w:val="0"/>
      <w:marTop w:val="0"/>
      <w:marBottom w:val="0"/>
      <w:divBdr>
        <w:top w:val="none" w:sz="0" w:space="0" w:color="auto"/>
        <w:left w:val="none" w:sz="0" w:space="0" w:color="auto"/>
        <w:bottom w:val="none" w:sz="0" w:space="0" w:color="auto"/>
        <w:right w:val="none" w:sz="0" w:space="0" w:color="auto"/>
      </w:divBdr>
    </w:div>
    <w:div w:id="1995374932">
      <w:bodyDiv w:val="1"/>
      <w:marLeft w:val="0"/>
      <w:marRight w:val="0"/>
      <w:marTop w:val="0"/>
      <w:marBottom w:val="0"/>
      <w:divBdr>
        <w:top w:val="none" w:sz="0" w:space="0" w:color="auto"/>
        <w:left w:val="none" w:sz="0" w:space="0" w:color="auto"/>
        <w:bottom w:val="none" w:sz="0" w:space="0" w:color="auto"/>
        <w:right w:val="none" w:sz="0" w:space="0" w:color="auto"/>
      </w:divBdr>
    </w:div>
    <w:div w:id="2010671958">
      <w:bodyDiv w:val="1"/>
      <w:marLeft w:val="0"/>
      <w:marRight w:val="0"/>
      <w:marTop w:val="0"/>
      <w:marBottom w:val="0"/>
      <w:divBdr>
        <w:top w:val="none" w:sz="0" w:space="0" w:color="auto"/>
        <w:left w:val="none" w:sz="0" w:space="0" w:color="auto"/>
        <w:bottom w:val="none" w:sz="0" w:space="0" w:color="auto"/>
        <w:right w:val="none" w:sz="0" w:space="0" w:color="auto"/>
      </w:divBdr>
    </w:div>
    <w:div w:id="2035300220">
      <w:bodyDiv w:val="1"/>
      <w:marLeft w:val="0"/>
      <w:marRight w:val="0"/>
      <w:marTop w:val="0"/>
      <w:marBottom w:val="0"/>
      <w:divBdr>
        <w:top w:val="none" w:sz="0" w:space="0" w:color="auto"/>
        <w:left w:val="none" w:sz="0" w:space="0" w:color="auto"/>
        <w:bottom w:val="none" w:sz="0" w:space="0" w:color="auto"/>
        <w:right w:val="none" w:sz="0" w:space="0" w:color="auto"/>
      </w:divBdr>
    </w:div>
    <w:div w:id="2078434819">
      <w:bodyDiv w:val="1"/>
      <w:marLeft w:val="0"/>
      <w:marRight w:val="0"/>
      <w:marTop w:val="0"/>
      <w:marBottom w:val="0"/>
      <w:divBdr>
        <w:top w:val="none" w:sz="0" w:space="0" w:color="auto"/>
        <w:left w:val="none" w:sz="0" w:space="0" w:color="auto"/>
        <w:bottom w:val="none" w:sz="0" w:space="0" w:color="auto"/>
        <w:right w:val="none" w:sz="0" w:space="0" w:color="auto"/>
      </w:divBdr>
    </w:div>
    <w:div w:id="2094009978">
      <w:bodyDiv w:val="1"/>
      <w:marLeft w:val="0"/>
      <w:marRight w:val="0"/>
      <w:marTop w:val="0"/>
      <w:marBottom w:val="0"/>
      <w:divBdr>
        <w:top w:val="none" w:sz="0" w:space="0" w:color="auto"/>
        <w:left w:val="none" w:sz="0" w:space="0" w:color="auto"/>
        <w:bottom w:val="none" w:sz="0" w:space="0" w:color="auto"/>
        <w:right w:val="none" w:sz="0" w:space="0" w:color="auto"/>
      </w:divBdr>
    </w:div>
    <w:div w:id="21126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y.ec.europa.eu/topics/oil-gas-and-coal/carbon-capture-storage-and-utilisation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axis.ee/tood/ida-virumaa-polevkivitoostuse-vahenemine/"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pcc.ch/report/ar6/wg3/downloads/report/IPCC_AR6_WGIII_SummaryForPolicymakers.pdf" TargetMode="External"/><Relationship Id="rId13" Type="http://schemas.openxmlformats.org/officeDocument/2006/relationships/hyperlink" Target="https://kotkas.envir.ee/permits/public_application_details?represented_id=&amp;proceeding_id=6606&amp;application_id=1007923" TargetMode="External"/><Relationship Id="rId3" Type="http://schemas.openxmlformats.org/officeDocument/2006/relationships/hyperlink" Target="https://envir.ee/kliima/kasvuhoonegaasid" TargetMode="External"/><Relationship Id="rId7" Type="http://schemas.openxmlformats.org/officeDocument/2006/relationships/hyperlink" Target="https://www.ipcc.ch/report/ar6/wg1/" TargetMode="External"/><Relationship Id="rId12" Type="http://schemas.openxmlformats.org/officeDocument/2006/relationships/hyperlink" Target="https://www.researchgate.net/publication/316893997_Bird_species_richness_and_densities_in_relation_to_sulphur_dioxide_gradients_and_environmental_variables" TargetMode="External"/><Relationship Id="rId2" Type="http://schemas.openxmlformats.org/officeDocument/2006/relationships/hyperlink" Target="https://climateactiontracker.org/countries/eu/" TargetMode="External"/><Relationship Id="rId1" Type="http://schemas.openxmlformats.org/officeDocument/2006/relationships/hyperlink" Target="https://www.riigiteataja.ee/akt/310022023001" TargetMode="External"/><Relationship Id="rId6" Type="http://schemas.openxmlformats.org/officeDocument/2006/relationships/hyperlink" Target="https://www.iema.net/resources/blog/2022/02/28/launch-of-the-updated-eia-guidance-onassessing-ghg-emissions" TargetMode="External"/><Relationship Id="rId11" Type="http://schemas.openxmlformats.org/officeDocument/2006/relationships/hyperlink" Target="https://www.bundesverfassungsgericht.de/SharedDocs/Entscheidungen/EN/2021/03/rs20210324_1bvr265618en.html" TargetMode="External"/><Relationship Id="rId5" Type="http://schemas.openxmlformats.org/officeDocument/2006/relationships/hyperlink" Target="http://media.voog.com/0000/0036/5677/files/Kliimamoju-hindamisesuunis%20K%C3%95K%202023.pdf" TargetMode="External"/><Relationship Id="rId10" Type="http://schemas.openxmlformats.org/officeDocument/2006/relationships/hyperlink" Target="https://adr.rik.ee/ram/dokument/10892028" TargetMode="External"/><Relationship Id="rId4" Type="http://schemas.openxmlformats.org/officeDocument/2006/relationships/hyperlink" Target="http://media.voog.com/0000/0036/5677/files/Kliimamoju-hindamisesuunis%20K%C3%95K%202023.pdf" TargetMode="External"/><Relationship Id="rId9" Type="http://schemas.openxmlformats.org/officeDocument/2006/relationships/hyperlink" Target="https://www.eib.org/attachments/thematic/eib_group_climate_bank_roadmap_en.pdf" TargetMode="External"/><Relationship Id="rId14" Type="http://schemas.openxmlformats.org/officeDocument/2006/relationships/hyperlink" Target="https://media.voog.com/0000/0036/5677/files/Natura%202000%20ELi%20ja%20Eesti%20oiguses_K6K2022.pdf" TargetMode="External"/></Relationships>
</file>

<file path=word/documenttasks/documenttasks1.xml><?xml version="1.0" encoding="utf-8"?>
<t:Tasks xmlns:t="http://schemas.microsoft.com/office/tasks/2019/documenttasks" xmlns:oel="http://schemas.microsoft.com/office/2019/extlst">
  <t:Task id="{2B635B8A-A79E-424E-96DA-881BF3B20435}">
    <t:Anchor>
      <t:Comment id="673911961"/>
    </t:Anchor>
    <t:History>
      <t:Event id="{53BB5292-5222-4C12-B18D-341620BE7827}" time="2023-06-07T11:37:13.969Z">
        <t:Attribution userId="S::Merily.Lakson@energia.ee::949efde7-f72f-47d2-900d-1d3d9626f622" userProvider="AD" userName="Merily Lakson"/>
        <t:Anchor>
          <t:Comment id="673911961"/>
        </t:Anchor>
        <t:Create/>
      </t:Event>
      <t:Event id="{26A1F3FF-4C83-4781-98A2-598C4221CBE2}" time="2023-06-07T11:37:13.969Z">
        <t:Attribution userId="S::Merily.Lakson@energia.ee::949efde7-f72f-47d2-900d-1d3d9626f622" userProvider="AD" userName="Merily Lakson"/>
        <t:Anchor>
          <t:Comment id="673911961"/>
        </t:Anchor>
        <t:Assign userId="S::Tonis.Meriste@energia.ee::7c2196d6-8ae4-43f8-a2e2-97325a6b7f35" userProvider="AD" userName="Tõnis Meriste"/>
      </t:Event>
      <t:Event id="{C175E53D-DE92-47E8-B2C6-A1FAC1476E3E}" time="2023-06-07T11:37:13.969Z">
        <t:Attribution userId="S::Merily.Lakson@energia.ee::949efde7-f72f-47d2-900d-1d3d9626f622" userProvider="AD" userName="Merily Lakson"/>
        <t:Anchor>
          <t:Comment id="673911961"/>
        </t:Anchor>
        <t:SetTitle title="@Tõnis Meriste "/>
      </t:Event>
      <t:Event id="{71527150-ACE6-4D9A-A86F-CAC13F757717}" time="2023-06-12T07:38:36.801Z">
        <t:Attribution userId="S::merily.lakson@energia.ee::949efde7-f72f-47d2-900d-1d3d9626f622" userProvider="AD" userName="Merily Lakson"/>
        <t:Progress percentComplete="100"/>
      </t:Event>
    </t:History>
  </t:Task>
  <t:Task id="{11744AE4-E51F-4234-8C1F-5CF9C47E877A}">
    <t:Anchor>
      <t:Comment id="673912104"/>
    </t:Anchor>
    <t:History>
      <t:Event id="{E9B2D42D-0E6C-4A7F-BAE2-45791B757E45}" time="2023-06-07T11:39:36.056Z">
        <t:Attribution userId="S::Merily.Lakson@energia.ee::949efde7-f72f-47d2-900d-1d3d9626f622" userProvider="AD" userName="Merily Lakson"/>
        <t:Anchor>
          <t:Comment id="673912104"/>
        </t:Anchor>
        <t:Create/>
      </t:Event>
      <t:Event id="{C2880AC2-FF6C-4EB0-9030-91C4B5B16CC3}" time="2023-06-07T11:39:36.056Z">
        <t:Attribution userId="S::Merily.Lakson@energia.ee::949efde7-f72f-47d2-900d-1d3d9626f622" userProvider="AD" userName="Merily Lakson"/>
        <t:Anchor>
          <t:Comment id="673912104"/>
        </t:Anchor>
        <t:Assign userId="S::Inna.Mihhailova@energia.ee::62dd4860-c98d-4866-9cd1-8f48f8e01970" userProvider="AD" userName="Inna Mihhailova"/>
      </t:Event>
      <t:Event id="{1F3813CF-0B07-4B14-AB88-5FC6CF667B13}" time="2023-06-07T11:39:36.056Z">
        <t:Attribution userId="S::Merily.Lakson@energia.ee::949efde7-f72f-47d2-900d-1d3d9626f622" userProvider="AD" userName="Merily Lakson"/>
        <t:Anchor>
          <t:Comment id="673912104"/>
        </t:Anchor>
        <t:SetTitle title="@Inna Mihhailova "/>
      </t:Event>
    </t:History>
  </t:Task>
  <t:Task id="{DEDE230D-AFEF-4B68-93AC-B7263CE87AE6}">
    <t:Anchor>
      <t:Comment id="673912156"/>
    </t:Anchor>
    <t:History>
      <t:Event id="{C78CFBD4-065F-4217-8722-79007C45FEA9}" time="2023-06-07T11:40:28.338Z">
        <t:Attribution userId="S::Merily.Lakson@energia.ee::949efde7-f72f-47d2-900d-1d3d9626f622" userProvider="AD" userName="Merily Lakson"/>
        <t:Anchor>
          <t:Comment id="673912156"/>
        </t:Anchor>
        <t:Create/>
      </t:Event>
      <t:Event id="{1058597B-E0A7-463C-893C-E22448710FF3}" time="2023-06-07T11:40:28.338Z">
        <t:Attribution userId="S::Merily.Lakson@energia.ee::949efde7-f72f-47d2-900d-1d3d9626f622" userProvider="AD" userName="Merily Lakson"/>
        <t:Anchor>
          <t:Comment id="673912156"/>
        </t:Anchor>
        <t:Assign userId="S::Tonis.Meriste@energia.ee::7c2196d6-8ae4-43f8-a2e2-97325a6b7f35" userProvider="AD" userName="Tõnis Meriste"/>
      </t:Event>
      <t:Event id="{199E2D95-44A1-4256-B788-C503DD8B3AF6}" time="2023-06-07T11:40:28.338Z">
        <t:Attribution userId="S::Merily.Lakson@energia.ee::949efde7-f72f-47d2-900d-1d3d9626f622" userProvider="AD" userName="Merily Lakson"/>
        <t:Anchor>
          <t:Comment id="673912156"/>
        </t:Anchor>
        <t:SetTitle title="@Tõnis Meriste "/>
      </t:Event>
      <t:Event id="{C79A523D-FB76-4C51-B9D2-7C34B774867E}" time="2023-06-12T07:38:31.983Z">
        <t:Attribution userId="S::merily.lakson@energia.ee::949efde7-f72f-47d2-900d-1d3d9626f622" userProvider="AD" userName="Merily Lak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4755ca5-a755-4bae-b049-3aa503d463a5" xsi:nil="true"/>
    <_ip_UnifiedCompliancePolicyProperties xmlns="http://schemas.microsoft.com/sharepoint/v3" xsi:nil="true"/>
    <lcf76f155ced4ddcb4097134ff3c332f xmlns="b10a479c-c75b-40f5-85a9-fd9a21cc49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B5B283AA909F4BBA5FD033538DD962" ma:contentTypeVersion="18" ma:contentTypeDescription="Loo uus dokument" ma:contentTypeScope="" ma:versionID="10702e2307efe76b2cea2655c8033b94">
  <xsd:schema xmlns:xsd="http://www.w3.org/2001/XMLSchema" xmlns:xs="http://www.w3.org/2001/XMLSchema" xmlns:p="http://schemas.microsoft.com/office/2006/metadata/properties" xmlns:ns1="http://schemas.microsoft.com/sharepoint/v3" xmlns:ns2="b10a479c-c75b-40f5-85a9-fd9a21cc4949" xmlns:ns3="64755ca5-a755-4bae-b049-3aa503d463a5" targetNamespace="http://schemas.microsoft.com/office/2006/metadata/properties" ma:root="true" ma:fieldsID="7ed60ca29747866397884a928eac65b3" ns1:_="" ns2:_="" ns3:_="">
    <xsd:import namespace="http://schemas.microsoft.com/sharepoint/v3"/>
    <xsd:import namespace="b10a479c-c75b-40f5-85a9-fd9a21cc4949"/>
    <xsd:import namespace="64755ca5-a755-4bae-b049-3aa503d463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Ühtse nõuetele vastavuse poliitika atribuudid" ma:hidden="true" ma:internalName="_ip_UnifiedCompliancePolicyProperties">
      <xsd:simpleType>
        <xsd:restriction base="dms:Note"/>
      </xsd:simpleType>
    </xsd:element>
    <xsd:element name="_ip_UnifiedCompliancePolicyUIAction" ma:index="25"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a479c-c75b-40f5-85a9-fd9a21cc4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42fc8c34-6131-460a-a028-367db9ee0e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755ca5-a755-4bae-b049-3aa503d463a5"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2b897128-d844-46d4-a833-2335721616a1}" ma:internalName="TaxCatchAll" ma:showField="CatchAllData" ma:web="64755ca5-a755-4bae-b049-3aa503d46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2DB8-7D90-47FD-BE65-2FE82B1208AD}">
  <ds:schemaRefs>
    <ds:schemaRef ds:uri="http://schemas.microsoft.com/sharepoint/v3/contenttype/forms"/>
  </ds:schemaRefs>
</ds:datastoreItem>
</file>

<file path=customXml/itemProps2.xml><?xml version="1.0" encoding="utf-8"?>
<ds:datastoreItem xmlns:ds="http://schemas.openxmlformats.org/officeDocument/2006/customXml" ds:itemID="{FDAA3B6C-9991-49B5-84F4-2B8FBA3EBBDA}">
  <ds:schemaRefs>
    <ds:schemaRef ds:uri="http://schemas.microsoft.com/office/2006/metadata/properties"/>
    <ds:schemaRef ds:uri="http://schemas.microsoft.com/office/infopath/2007/PartnerControls"/>
    <ds:schemaRef ds:uri="http://schemas.microsoft.com/sharepoint/v3"/>
    <ds:schemaRef ds:uri="64755ca5-a755-4bae-b049-3aa503d463a5"/>
    <ds:schemaRef ds:uri="b10a479c-c75b-40f5-85a9-fd9a21cc4949"/>
  </ds:schemaRefs>
</ds:datastoreItem>
</file>

<file path=customXml/itemProps3.xml><?xml version="1.0" encoding="utf-8"?>
<ds:datastoreItem xmlns:ds="http://schemas.openxmlformats.org/officeDocument/2006/customXml" ds:itemID="{217B8930-1693-4D67-A65B-83A89860F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0a479c-c75b-40f5-85a9-fd9a21cc4949"/>
    <ds:schemaRef ds:uri="64755ca5-a755-4bae-b049-3aa503d4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3D639-9055-4298-A0B4-8099F327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11827</Words>
  <Characters>68601</Characters>
  <Application>Microsoft Office Word</Application>
  <DocSecurity>0</DocSecurity>
  <Lines>571</Lines>
  <Paragraphs>160</Paragraphs>
  <ScaleCrop>false</ScaleCrop>
  <Company/>
  <LinksUpToDate>false</LinksUpToDate>
  <CharactersWithSpaces>80268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Sutt</dc:creator>
  <cp:keywords/>
  <dc:description/>
  <cp:lastModifiedBy>Ele Riipus</cp:lastModifiedBy>
  <cp:revision>3</cp:revision>
  <cp:lastPrinted>2022-01-14T22:30:00Z</cp:lastPrinted>
  <dcterms:created xsi:type="dcterms:W3CDTF">2023-06-22T08:35:00Z</dcterms:created>
  <dcterms:modified xsi:type="dcterms:W3CDTF">2023-06-22T08:48:00Z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0x0101008FB5B283AA909F4BBA5FD033538DD962</vt:lpwstr>
  </property>
  <property fmtid="{D5CDD505-2E9C-101B-9397-08002B2CF9AE}" pid="3" name="MediaServiceImageTags">
    <vt:lpwstr/>
  </property>
</Properties>
</file>