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E51322" w:rsidRDefault="00E51322" w:rsidP="00442679">
      <w:pPr>
        <w:rPr>
          <w:b/>
          <w:bCs/>
          <w:color w:val="0070C0"/>
        </w:rPr>
      </w:pPr>
    </w:p>
    <w:p w:rsidR="00E51322" w:rsidRDefault="00E51322" w:rsidP="00442679">
      <w:pPr>
        <w:rPr>
          <w:b/>
          <w:bCs/>
          <w:color w:val="0070C0"/>
        </w:rPr>
      </w:pP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 2018</w:t>
      </w:r>
      <w:r w:rsidR="00DC3BE5" w:rsidRPr="00195D54">
        <w:rPr>
          <w:bCs/>
        </w:rPr>
        <w:t xml:space="preserve"> ots</w:t>
      </w:r>
      <w:r w:rsidR="00DC3BE5">
        <w:rPr>
          <w:bCs/>
        </w:rPr>
        <w:t>usega nr ...</w:t>
      </w:r>
    </w:p>
    <w:p w:rsidR="00E51322" w:rsidRDefault="00E51322" w:rsidP="00442679">
      <w:pPr>
        <w:rPr>
          <w:b/>
          <w:bCs/>
          <w:color w:val="0070C0"/>
        </w:rPr>
      </w:pPr>
    </w:p>
    <w:p w:rsidR="00DC3BE5" w:rsidRDefault="00195D54" w:rsidP="0036052D">
      <w:pPr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  <w:t xml:space="preserve">  </w:t>
      </w:r>
      <w:r w:rsidR="0036052D">
        <w:rPr>
          <w:b/>
          <w:bCs/>
          <w:color w:val="0070C0"/>
        </w:rPr>
        <w:t>ETENDUSASUTUSE HELINDAJA</w:t>
      </w:r>
      <w:r w:rsidR="00DC3BE5">
        <w:rPr>
          <w:b/>
          <w:bCs/>
          <w:color w:val="0070C0"/>
        </w:rPr>
        <w:t xml:space="preserve">, TASE </w:t>
      </w:r>
      <w:r w:rsidR="0036052D">
        <w:rPr>
          <w:b/>
          <w:bCs/>
          <w:color w:val="0070C0"/>
        </w:rPr>
        <w:t>3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195D54" w:rsidRPr="003B23E9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hindajale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4318BB">
      <w:pPr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36052D" w:rsidRPr="0036052D">
          <w:rPr>
            <w:rStyle w:val="Hyperlink"/>
            <w:bCs/>
          </w:rPr>
          <w:t>etendusasutuse helindaja, tase 3</w:t>
        </w:r>
      </w:hyperlink>
      <w:r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4318BB" w:rsidRDefault="0036052D" w:rsidP="004318BB">
      <w:pPr>
        <w:pStyle w:val="ListParagraph"/>
        <w:ind w:left="0"/>
        <w:rPr>
          <w:bCs/>
        </w:rPr>
      </w:pPr>
      <w:r w:rsidRPr="0036052D">
        <w:rPr>
          <w:bCs/>
        </w:rPr>
        <w:t>Taotlejat hindab kutsekomisjoni moodustatud 3- liikmeline hindamiskomisjon, kellel on nii kutsealane kui hindamisalane kompetentsus.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5E42EF" w:rsidRDefault="009C3EB6" w:rsidP="009C3EB6">
      <w:pPr>
        <w:pStyle w:val="ListParagraph"/>
        <w:ind w:left="0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</w:t>
      </w:r>
      <w:r w:rsidR="00A56AB9">
        <w:rPr>
          <w:bCs/>
        </w:rPr>
        <w:t xml:space="preserve">jm asjakohane info </w:t>
      </w:r>
      <w:r>
        <w:rPr>
          <w:bCs/>
        </w:rPr>
        <w:t xml:space="preserve">kuulutatakse välja kutse andja Eesti Teatriliidu kodulehel </w:t>
      </w:r>
      <w:hyperlink r:id="rId8" w:history="1">
        <w:r w:rsidRPr="00BC2A3F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9C3EB6" w:rsidRDefault="009C3EB6" w:rsidP="009C3EB6">
      <w:pPr>
        <w:pStyle w:val="ListParagraph"/>
        <w:ind w:left="0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>koosneb kolmest etapist</w:t>
      </w:r>
      <w:r w:rsidR="000110F8" w:rsidRPr="0087000D">
        <w:rPr>
          <w:bCs/>
        </w:rPr>
        <w:t>: testist, praktilisest</w:t>
      </w:r>
      <w:r w:rsidR="000110F8">
        <w:rPr>
          <w:bCs/>
        </w:rPr>
        <w:t xml:space="preserve"> tööst ja vestlusest, mis viiakse läbi </w:t>
      </w:r>
      <w:r w:rsidR="0087000D">
        <w:rPr>
          <w:bCs/>
        </w:rPr>
        <w:t xml:space="preserve">ühel päeval. </w:t>
      </w:r>
      <w:r w:rsidR="00FB0416">
        <w:rPr>
          <w:bCs/>
        </w:rPr>
        <w:t>Nädala jooksul peale</w:t>
      </w:r>
      <w:r w:rsidR="0087000D"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</w:t>
      </w:r>
      <w:r w:rsidR="00747992">
        <w:rPr>
          <w:bCs/>
        </w:rPr>
        <w:t xml:space="preserve"> </w:t>
      </w:r>
      <w:r w:rsidR="0087000D">
        <w:rPr>
          <w:bCs/>
        </w:rPr>
        <w:t>18 lg 2 p 6). Kutse taotlejal on õigus kutsekomisjoni otsus vaidlustada haldusmenetluse seaduses sätestatud tingimustel ja korras.</w:t>
      </w:r>
    </w:p>
    <w:p w:rsidR="0087000D" w:rsidRDefault="0087000D" w:rsidP="009C3EB6">
      <w:pPr>
        <w:pStyle w:val="ListParagraph"/>
        <w:ind w:left="0"/>
        <w:rPr>
          <w:bCs/>
        </w:rPr>
      </w:pPr>
    </w:p>
    <w:p w:rsidR="0087000D" w:rsidRDefault="0087000D" w:rsidP="009C3EB6">
      <w:pPr>
        <w:pStyle w:val="ListParagraph"/>
        <w:ind w:left="0"/>
        <w:rPr>
          <w:bCs/>
        </w:rPr>
      </w:pPr>
      <w:r>
        <w:rPr>
          <w:bCs/>
        </w:rPr>
        <w:t>Kutseeksami</w:t>
      </w:r>
      <w:r w:rsidR="002A3F45">
        <w:rPr>
          <w:bCs/>
        </w:rPr>
        <w:t xml:space="preserve"> </w:t>
      </w:r>
      <w:r w:rsidR="002A3F45" w:rsidRPr="002B3F50">
        <w:rPr>
          <w:bCs/>
          <w:u w:val="single"/>
        </w:rPr>
        <w:t>kõigis etappides</w:t>
      </w:r>
      <w:r>
        <w:rPr>
          <w:bCs/>
        </w:rPr>
        <w:t xml:space="preserve"> </w:t>
      </w:r>
      <w:r w:rsidR="002A3F45">
        <w:rPr>
          <w:bCs/>
        </w:rPr>
        <w:t>hinnatakse järgmisi kompetentse:</w:t>
      </w:r>
    </w:p>
    <w:p w:rsidR="002A3F45" w:rsidRDefault="002A3F45" w:rsidP="002A3F45">
      <w:pPr>
        <w:pStyle w:val="ListParagraph"/>
        <w:numPr>
          <w:ilvl w:val="0"/>
          <w:numId w:val="20"/>
        </w:numPr>
      </w:pPr>
      <w:r>
        <w:t>Helindamine</w:t>
      </w:r>
    </w:p>
    <w:p w:rsidR="002A3F45" w:rsidRDefault="002A3F45" w:rsidP="002A3F45">
      <w:pPr>
        <w:pStyle w:val="ListParagraph"/>
        <w:numPr>
          <w:ilvl w:val="0"/>
          <w:numId w:val="20"/>
        </w:numPr>
      </w:pPr>
      <w:r>
        <w:t>Stuudiosalvestus ja salvestise järeltöötlus</w:t>
      </w:r>
    </w:p>
    <w:p w:rsidR="002A3F45" w:rsidRPr="009C3EB6" w:rsidRDefault="002A3F45" w:rsidP="002A3F45">
      <w:pPr>
        <w:pStyle w:val="ListParagraph"/>
        <w:numPr>
          <w:ilvl w:val="0"/>
          <w:numId w:val="20"/>
        </w:numPr>
        <w:rPr>
          <w:bCs/>
        </w:rPr>
      </w:pPr>
      <w:r>
        <w:t>Etendusasutuse helindaja, tase 3 kutset läbiv kompetents</w:t>
      </w:r>
    </w:p>
    <w:p w:rsidR="009C3EB6" w:rsidRPr="002A3F45" w:rsidRDefault="002A3F45" w:rsidP="007F640C">
      <w:pPr>
        <w:pStyle w:val="ListParagraph"/>
        <w:ind w:left="0"/>
        <w:rPr>
          <w:bCs/>
        </w:rPr>
      </w:pPr>
      <w:r w:rsidRPr="002A3F45">
        <w:rPr>
          <w:bCs/>
        </w:rPr>
        <w:t>Taotleja läbib kõik hindamisetapid</w:t>
      </w:r>
      <w:r>
        <w:rPr>
          <w:bCs/>
        </w:rPr>
        <w:t>. H</w:t>
      </w:r>
      <w:r w:rsidRPr="002A3F45">
        <w:rPr>
          <w:bCs/>
        </w:rPr>
        <w:t>indamiskomisjoni ettepanek kutse andmise või mitteandmise kohta kujuneb kogu hindamisprotsessi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2A3F45" w:rsidRDefault="002A3F45" w:rsidP="003B2632">
      <w:r w:rsidRPr="002B3F50">
        <w:rPr>
          <w:b/>
        </w:rPr>
        <w:t>Test</w:t>
      </w:r>
      <w:r w:rsidR="002B3F50">
        <w:t xml:space="preserve"> – taotleja vastab kirjalikult etteantud küsimustele. Testiga hinnatakse terminoloogia tundmist</w:t>
      </w:r>
      <w:r w:rsidR="00FB0416">
        <w:t xml:space="preserve"> ja teoreetilisi tea</w:t>
      </w:r>
      <w:r w:rsidR="00A74BE2">
        <w:t>d</w:t>
      </w:r>
      <w:r w:rsidR="00FB0416">
        <w:t>misi.</w:t>
      </w:r>
      <w:r w:rsidR="002B3F50">
        <w:t xml:space="preserve"> </w:t>
      </w:r>
    </w:p>
    <w:p w:rsidR="002A3F45" w:rsidRDefault="002A3F45" w:rsidP="003B2632">
      <w:r w:rsidRPr="002B3F50">
        <w:rPr>
          <w:b/>
        </w:rPr>
        <w:t>Praktiline töö</w:t>
      </w:r>
      <w:r>
        <w:t xml:space="preserve"> </w:t>
      </w:r>
      <w:r w:rsidR="002B3F50">
        <w:t>–</w:t>
      </w:r>
      <w:r>
        <w:t xml:space="preserve"> </w:t>
      </w:r>
      <w:r w:rsidR="002B3F50">
        <w:t>t</w:t>
      </w:r>
      <w:r>
        <w:t>aotleja</w:t>
      </w:r>
      <w:r w:rsidR="002B3F50">
        <w:t xml:space="preserve"> </w:t>
      </w:r>
      <w:r>
        <w:t>tõendab kompetentse</w:t>
      </w:r>
      <w:r w:rsidR="002B3F50">
        <w:t>,</w:t>
      </w:r>
      <w:r>
        <w:t xml:space="preserve"> täites</w:t>
      </w:r>
      <w:r w:rsidR="002B3F50" w:rsidRPr="002B3F50">
        <w:t xml:space="preserve"> </w:t>
      </w:r>
      <w:r w:rsidR="002B3F50">
        <w:t>tööülesannet</w:t>
      </w:r>
      <w:r>
        <w:t>, millel on konkreetne tulemus</w:t>
      </w:r>
      <w:r w:rsidR="00A74BE2">
        <w:t>, nt helitehnika ülesseadmine</w:t>
      </w:r>
      <w:r>
        <w:t>.</w:t>
      </w:r>
    </w:p>
    <w:p w:rsidR="002B3F50" w:rsidRDefault="002B3F50" w:rsidP="003B2632">
      <w:r w:rsidRPr="002B3F50">
        <w:rPr>
          <w:b/>
        </w:rPr>
        <w:t>Vestlus</w:t>
      </w:r>
      <w:r>
        <w:t xml:space="preserve"> – taotleja tõendab kompetentse, vastates suuliselt hindajate küsimustele.</w:t>
      </w:r>
      <w:r w:rsidR="00A74BE2">
        <w:t xml:space="preserve"> </w:t>
      </w:r>
      <w:r w:rsidR="004C41EA">
        <w:t>Vestluse käigus hinnatakse mh ka suhtlemisoskust, keeleoskust, korrektset erialase terminoloogia kasutamist, teoreetilisi teadmisi. Vestluse käigus on taotlejal võimalik tutvustada oma töökogemust, tehtud töid jm.</w:t>
      </w:r>
    </w:p>
    <w:p w:rsidR="005E42EF" w:rsidRDefault="005E42EF" w:rsidP="003B2632">
      <w:pPr>
        <w:rPr>
          <w:bCs/>
        </w:rPr>
      </w:pPr>
    </w:p>
    <w:p w:rsidR="003B2632" w:rsidRDefault="003B2632" w:rsidP="007F640C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</w:r>
      <w:r w:rsidR="007C759D">
        <w:rPr>
          <w:rFonts w:ascii="Carlito" w:hAnsi="Carlito"/>
          <w:bCs/>
        </w:rPr>
        <w:t>e</w:t>
      </w:r>
      <w:r w:rsidR="00A74BE2">
        <w:rPr>
          <w:rFonts w:ascii="Carlito" w:hAnsi="Carlito"/>
          <w:bCs/>
        </w:rPr>
        <w:t>tendusasutuse helindaja</w:t>
      </w:r>
      <w:r w:rsidR="00273F5E">
        <w:rPr>
          <w:rFonts w:ascii="Carlito" w:hAnsi="Carlito"/>
          <w:bCs/>
        </w:rPr>
        <w:t xml:space="preserve">, tase </w:t>
      </w:r>
      <w:r w:rsidR="00A74BE2">
        <w:rPr>
          <w:rFonts w:ascii="Carlito" w:hAnsi="Carlito"/>
          <w:bCs/>
        </w:rPr>
        <w:t>3</w:t>
      </w:r>
      <w:r w:rsidR="00273F5E">
        <w:rPr>
          <w:rFonts w:ascii="Carlito" w:hAnsi="Carlito"/>
          <w:bCs/>
        </w:rPr>
        <w:t xml:space="preserve"> </w:t>
      </w:r>
      <w:r>
        <w:rPr>
          <w:rFonts w:ascii="Carlito" w:hAnsi="Carlito"/>
          <w:bCs/>
        </w:rPr>
        <w:t xml:space="preserve">kutsestandardiga, 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lastRenderedPageBreak/>
        <w:tab/>
      </w:r>
      <w:r w:rsidR="00A74BE2" w:rsidRPr="00A74BE2">
        <w:t>etenduskunstide tugiteenuste kutseala</w:t>
      </w:r>
      <w:r w:rsidR="00FD16BC">
        <w:t xml:space="preserve"> </w:t>
      </w:r>
      <w:r w:rsidR="00273F5E">
        <w:t>kutsete</w:t>
      </w:r>
      <w:r w:rsidR="00273F5E">
        <w:rPr>
          <w:bCs/>
        </w:rPr>
        <w:t xml:space="preserve"> </w:t>
      </w:r>
      <w:r>
        <w:rPr>
          <w:rFonts w:ascii="Carlito" w:hAnsi="Carlito"/>
          <w:bCs/>
        </w:rPr>
        <w:t>kutse andmise korraga,</w:t>
      </w:r>
    </w:p>
    <w:p w:rsidR="00DC3BE5" w:rsidRDefault="00DC3BE5" w:rsidP="00273F5E">
      <w:pPr>
        <w:rPr>
          <w:rFonts w:ascii="Carlito" w:hAnsi="Carlito"/>
          <w:bCs/>
        </w:rPr>
      </w:pPr>
      <w:r>
        <w:rPr>
          <w:rFonts w:ascii="Carlito" w:hAnsi="Carlito"/>
        </w:rPr>
        <w:tab/>
      </w:r>
      <w:r w:rsidR="007C759D">
        <w:rPr>
          <w:rFonts w:ascii="Carlito" w:hAnsi="Carlito"/>
        </w:rPr>
        <w:t>eksamimaterjalidega (testi vormid, hindamisülesanded jm)</w:t>
      </w:r>
      <w:r w:rsidR="00273F5E">
        <w:rPr>
          <w:rFonts w:ascii="Carlito" w:hAnsi="Carlito"/>
        </w:rPr>
        <w:t>.</w:t>
      </w:r>
    </w:p>
    <w:p w:rsidR="00DC3BE5" w:rsidRDefault="00DC3BE5" w:rsidP="00DC3BE5">
      <w:pPr>
        <w:jc w:val="both"/>
        <w:rPr>
          <w:rFonts w:ascii="Carlito" w:hAnsi="Carlito"/>
          <w:bCs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täitke iga taotleja kohta personaalne hindamisvorm</w:t>
      </w:r>
      <w:r w:rsidR="00CD23D2">
        <w:rPr>
          <w:rFonts w:ascii="Carlito" w:hAnsi="Carlito"/>
          <w:bCs/>
        </w:rPr>
        <w:t xml:space="preserve"> (</w:t>
      </w:r>
      <w:r w:rsidR="00F127B5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H1)</w:t>
      </w:r>
      <w:r>
        <w:rPr>
          <w:rFonts w:ascii="Carlito" w:hAnsi="Carlito"/>
          <w:bCs/>
        </w:rPr>
        <w:t>,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 xml:space="preserve">esitage vajadusel küsimusi </w:t>
      </w:r>
      <w:r w:rsidR="00CD23D2">
        <w:rPr>
          <w:rFonts w:ascii="Carlito" w:hAnsi="Carlito"/>
          <w:bCs/>
        </w:rPr>
        <w:t>kompetentsusnõuete</w:t>
      </w:r>
      <w:r>
        <w:rPr>
          <w:rFonts w:ascii="Carlito" w:hAnsi="Carlito"/>
          <w:bCs/>
        </w:rPr>
        <w:t xml:space="preserve"> täitmise osas,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vormistage hindamistulemus iga hindamiskriteeriumi kohta.</w:t>
      </w:r>
    </w:p>
    <w:p w:rsidR="00DC3BE5" w:rsidRDefault="00DC3BE5" w:rsidP="00DC3BE5">
      <w:pPr>
        <w:jc w:val="both"/>
        <w:rPr>
          <w:rFonts w:ascii="Carlito" w:hAnsi="Carlito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järel: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vormistage  hindamisprotokoll</w:t>
      </w:r>
      <w:r w:rsidR="00CD23D2">
        <w:rPr>
          <w:rFonts w:ascii="Carlito" w:hAnsi="Carlito"/>
          <w:bCs/>
        </w:rPr>
        <w:t xml:space="preserve"> (</w:t>
      </w:r>
      <w:r w:rsidR="00C93E28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H2)</w:t>
      </w:r>
      <w:r>
        <w:rPr>
          <w:rFonts w:ascii="Carlito" w:hAnsi="Carlito"/>
          <w:bCs/>
        </w:rPr>
        <w:t>,</w:t>
      </w:r>
    </w:p>
    <w:p w:rsidR="00DC3BE5" w:rsidRDefault="00DC3BE5" w:rsidP="00DC3BE5">
      <w:pPr>
        <w:ind w:firstLine="720"/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andke taotlejale konstruktiivset tagasisidet,</w:t>
      </w:r>
    </w:p>
    <w:p w:rsidR="00DC3BE5" w:rsidRPr="00AB20EF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edastage oma ettepanekud kutse andmise kohta hindamisprotokollina kutsekomisjonile.</w:t>
      </w:r>
    </w:p>
    <w:p w:rsidR="008A2F30" w:rsidRPr="0085287D" w:rsidRDefault="008A2F30" w:rsidP="005A4364">
      <w:pPr>
        <w:jc w:val="both"/>
        <w:rPr>
          <w:b/>
          <w:bCs/>
        </w:rPr>
      </w:pPr>
      <w:r w:rsidRPr="0085287D">
        <w:rPr>
          <w:b/>
          <w:bCs/>
        </w:rPr>
        <w:tab/>
      </w:r>
      <w:r w:rsidRPr="0085287D">
        <w:rPr>
          <w:b/>
          <w:bCs/>
        </w:rPr>
        <w:tab/>
      </w:r>
      <w:r w:rsidRPr="0085287D">
        <w:rPr>
          <w:b/>
          <w:bCs/>
        </w:rPr>
        <w:tab/>
      </w:r>
    </w:p>
    <w:p w:rsidR="008A2F30" w:rsidRDefault="008A2F30" w:rsidP="005A4364">
      <w:pPr>
        <w:jc w:val="both"/>
        <w:rPr>
          <w:rFonts w:cs="Times New Roman"/>
          <w:b/>
          <w:bCs/>
          <w:noProof/>
          <w:color w:val="0070C0"/>
        </w:rPr>
      </w:pPr>
    </w:p>
    <w:p w:rsidR="007C759D" w:rsidRDefault="007C759D" w:rsidP="00B74788">
      <w:pPr>
        <w:rPr>
          <w:rFonts w:cs="Times New Roman"/>
        </w:rPr>
        <w:sectPr w:rsidR="007C759D" w:rsidSect="006647FF">
          <w:footerReference w:type="default" r:id="rId9"/>
          <w:pgSz w:w="11906" w:h="16838"/>
          <w:pgMar w:top="540" w:right="1417" w:bottom="719" w:left="1417" w:header="708" w:footer="708" w:gutter="0"/>
          <w:cols w:space="708"/>
          <w:docGrid w:linePitch="360"/>
        </w:sectPr>
      </w:pPr>
    </w:p>
    <w:p w:rsidR="008A2F30" w:rsidRPr="00C93E28" w:rsidRDefault="00C93E28" w:rsidP="00B74788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Etendusasutuse helindaja, tase 3 kutse taotleja hindamisvorm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V</w:t>
      </w:r>
      <w:r w:rsidR="007C759D" w:rsidRPr="00C93E2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p w:rsidR="007C759D" w:rsidRDefault="007C759D" w:rsidP="00B74788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4961"/>
      </w:tblGrid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Test</w:t>
            </w: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Praktiline töö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Vestlus</w:t>
            </w:r>
          </w:p>
        </w:tc>
        <w:tc>
          <w:tcPr>
            <w:tcW w:w="4961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Kommentaarid</w:t>
            </w:r>
          </w:p>
        </w:tc>
      </w:tr>
      <w:tr w:rsidR="007C759D" w:rsidRPr="00973DB1" w:rsidTr="00C93E28">
        <w:tc>
          <w:tcPr>
            <w:tcW w:w="13291" w:type="dxa"/>
            <w:gridSpan w:val="5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  <w:b/>
              </w:rPr>
            </w:pPr>
            <w:r w:rsidRPr="00973DB1">
              <w:rPr>
                <w:rFonts w:cs="Times New Roman"/>
                <w:b/>
              </w:rPr>
              <w:t>Helindamine</w:t>
            </w: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Helitehnilise plaani lugemine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Helirežii lugemine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Helitehnika installeerimine ja deinstalleerimine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Heliproov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</w:pPr>
            <w:r>
              <w:t>Ettekande helindamine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C759D" w:rsidRDefault="007C759D" w:rsidP="00B74788">
            <w:pPr>
              <w:rPr>
                <w:rFonts w:cs="Times New Roman"/>
              </w:rPr>
            </w:pPr>
          </w:p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13291" w:type="dxa"/>
            <w:gridSpan w:val="5"/>
            <w:shd w:val="clear" w:color="auto" w:fill="auto"/>
          </w:tcPr>
          <w:p w:rsidR="00747992" w:rsidRPr="00747992" w:rsidRDefault="00747992" w:rsidP="00B74788">
            <w:pPr>
              <w:rPr>
                <w:rFonts w:cs="Times New Roman"/>
                <w:b/>
              </w:rPr>
            </w:pPr>
            <w:r w:rsidRPr="00747992">
              <w:rPr>
                <w:b/>
              </w:rPr>
              <w:t>Salvestus ja salvestise järeltöötlus</w:t>
            </w: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Salvestamise ettevalmistamine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Salvestamine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lastRenderedPageBreak/>
              <w:t>Salvestise töötlus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13291" w:type="dxa"/>
            <w:gridSpan w:val="5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  <w:r w:rsidRPr="005D0EE0">
              <w:rPr>
                <w:b/>
              </w:rPr>
              <w:t>Etendusasutuse helindaja, tase 3</w:t>
            </w:r>
            <w:r>
              <w:rPr>
                <w:b/>
              </w:rPr>
              <w:t xml:space="preserve"> </w:t>
            </w:r>
            <w:r w:rsidRPr="00936BB1">
              <w:rPr>
                <w:b/>
              </w:rPr>
              <w:t>kutset läbiv kompetents</w:t>
            </w: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</w:pPr>
            <w:r w:rsidRPr="005D0EE0">
              <w:t>kasutab töös eesti keelt tasemel B2 ja</w:t>
            </w:r>
            <w:r>
              <w:t xml:space="preserve"> </w:t>
            </w:r>
            <w:r w:rsidRPr="005D0EE0">
              <w:t>inglise keelt tasemel A2</w:t>
            </w:r>
            <w:r w:rsidR="00564689">
              <w:t>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5D0EE0">
              <w:t xml:space="preserve">kasutab oma töös digioskuste osaoskusi </w:t>
            </w:r>
            <w:r w:rsidRPr="005D0EE0">
              <w:rPr>
                <w:i/>
              </w:rPr>
              <w:t>Info haldamine</w:t>
            </w:r>
            <w:r w:rsidRPr="005D0EE0">
              <w:t xml:space="preserve">, </w:t>
            </w:r>
            <w:r w:rsidRPr="005D0EE0">
              <w:rPr>
                <w:i/>
              </w:rPr>
              <w:t>Suhtlemine digikeskkondades</w:t>
            </w:r>
            <w:r w:rsidRPr="005D0EE0">
              <w:t xml:space="preserve">, </w:t>
            </w:r>
            <w:r w:rsidRPr="005D0EE0">
              <w:rPr>
                <w:i/>
              </w:rPr>
              <w:t>Sisuloome</w:t>
            </w:r>
            <w:r w:rsidRPr="005D0EE0">
              <w:t xml:space="preserve"> ja </w:t>
            </w:r>
            <w:r w:rsidRPr="005D0EE0">
              <w:rPr>
                <w:i/>
              </w:rPr>
              <w:t>Turvalisus</w:t>
            </w:r>
            <w:r w:rsidRPr="005D0EE0">
              <w:t xml:space="preserve"> ning töös kasutatavaid helitöötlusprogramme;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5D0EE0">
              <w:t>säilitab ja arendab oma kutseoskusi; hoiab end kursis erialase terminoloogiaga, kasutab seda korrektselt;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5D0EE0">
              <w:t>on täpne ja kasutab ressursse (nt aeg, töövahendid) efektiivselt ning jälgib tööprotsessi jooksul tähtaegadest ning etappidest kinnipidamist;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5D0EE0">
              <w:t>järgib oma töös kutsealaga seonduvaid õigusakte, sh autoriõiguse seadust;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5D0EE0">
              <w:t>järgib oma töös ohutusnõudeid;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5D0EE0">
              <w:t xml:space="preserve">loob kolleegidega head suhted; valib asjakohase käitumis- ja väljendusviisi; suhtleb edukalt erineva positsiooni, kultuuritausta ja maailmavaatega inimestega; hindab adekvaatselt suhtlemispartnerit ja -situatsiooni; väljendab oma seisukoha kindlalt ja hinnanguvabalt, aktsepteerib enese ja </w:t>
            </w:r>
            <w:r w:rsidRPr="005D0EE0">
              <w:lastRenderedPageBreak/>
              <w:t>teiste vajadusi; reageerib ootamatutele olukordadele adekvaatselt; riietub vastavalt töö iseloo</w:t>
            </w:r>
            <w:r>
              <w:t>m</w:t>
            </w:r>
            <w:r w:rsidRPr="005D0EE0">
              <w:t>ule;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5D0EE0">
              <w:t>töötab tõhusalt meeskonnas ja selle huvides ning kohandub meeskonnaga; arvestab teistega ja täidab oma rolli meeskonnas.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06387" w:rsidRDefault="00C06387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F127B5" w:rsidP="00F127B5">
      <w:pPr>
        <w:jc w:val="center"/>
        <w:rPr>
          <w:rFonts w:cs="Times New Roman"/>
        </w:rPr>
      </w:pPr>
      <w:r>
        <w:t>Etendusasutuse helindaja, tase 3, etendusasutuse helindaja, tase 4</w:t>
      </w:r>
    </w:p>
    <w:p w:rsidR="00F127B5" w:rsidRPr="00CF4400" w:rsidRDefault="00F127B5" w:rsidP="00F127B5">
      <w:pPr>
        <w:jc w:val="center"/>
      </w:pPr>
      <w:r>
        <w:t>ja etendusasutuse helimeister, tase 5</w:t>
      </w:r>
      <w:r w:rsidRPr="00CF4400">
        <w:t xml:space="preserve"> kutse taotlejate</w:t>
      </w:r>
    </w:p>
    <w:p w:rsidR="00F127B5" w:rsidRPr="00B06295" w:rsidRDefault="00F127B5" w:rsidP="00F127B5">
      <w:pPr>
        <w:jc w:val="center"/>
        <w:rPr>
          <w:b/>
        </w:rPr>
      </w:pPr>
      <w:r w:rsidRPr="00B06295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F127B5" w:rsidRPr="00F127B5" w:rsidRDefault="00F127B5" w:rsidP="00F127B5">
      <w:pPr>
        <w:rPr>
          <w:i/>
        </w:rPr>
      </w:pPr>
      <w:r w:rsidRPr="00CF4400">
        <w:t>Hindamiskomisjon</w:t>
      </w:r>
      <w:r w:rsidRPr="00F127B5">
        <w:rPr>
          <w:i/>
        </w:rPr>
        <w:t xml:space="preserve"> (3 liiget)</w:t>
      </w:r>
      <w:r w:rsidRPr="00F127B5">
        <w:t xml:space="preserve">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Hindamismeetodid: </w:t>
      </w:r>
      <w:r>
        <w:t>test, praktiline töö, vestlus</w:t>
      </w:r>
    </w:p>
    <w:p w:rsidR="00F127B5" w:rsidRPr="00CF4400" w:rsidRDefault="00F127B5" w:rsidP="00F127B5"/>
    <w:p w:rsidR="00F127B5" w:rsidRPr="00CF4400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F127B5" w:rsidRPr="00BD05F3" w:rsidRDefault="00F127B5" w:rsidP="00F127B5">
      <w:r w:rsidRPr="00BD05F3">
        <w:t>Hinnatavad kompetentsid: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Helindamine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Salvestus ja salvestise järeltöötlus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Juhtimine ja juhendamine (ainult etendusasutuse helimeister, tase 5 kutse taotlejatel)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Kutset läbiv kompetents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F127B5" w:rsidRPr="00CF4400" w:rsidRDefault="00F127B5" w:rsidP="00F127B5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kutset“./</w:t>
      </w:r>
    </w:p>
    <w:p w:rsidR="00C06387" w:rsidRDefault="00C06387" w:rsidP="00B74788">
      <w:pPr>
        <w:rPr>
          <w:rFonts w:cs="Times New Roman"/>
        </w:rPr>
      </w:pPr>
    </w:p>
    <w:p w:rsidR="00F127B5" w:rsidRDefault="00F127B5" w:rsidP="00B74788">
      <w:pPr>
        <w:rPr>
          <w:rFonts w:cs="Times New Roman"/>
        </w:rPr>
      </w:pPr>
    </w:p>
    <w:p w:rsidR="00C93E28" w:rsidRDefault="00C93E28" w:rsidP="00B74788">
      <w:pPr>
        <w:rPr>
          <w:rFonts w:cs="Times New Roman"/>
        </w:rPr>
      </w:pP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lastRenderedPageBreak/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Anda taotlejale kutse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  <w:r w:rsidRPr="00F127B5">
              <w:t>Tõendamata kompetents ...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Mitte anda taotlejale kutset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</w:tbl>
    <w:p w:rsidR="00F127B5" w:rsidRPr="00CF4400" w:rsidRDefault="00F127B5" w:rsidP="00F127B5"/>
    <w:p w:rsidR="00F127B5" w:rsidRPr="00CF4400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Default="00F127B5" w:rsidP="00F127B5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F127B5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Pr="005F36E5" w:rsidRDefault="00F127B5" w:rsidP="00F127B5">
      <w:r>
        <w:t>Kuupäev:</w:t>
      </w:r>
    </w:p>
    <w:p w:rsidR="00F127B5" w:rsidRDefault="00F127B5" w:rsidP="00B74788">
      <w:pPr>
        <w:rPr>
          <w:rFonts w:cs="Times New Roman"/>
        </w:rPr>
      </w:pPr>
    </w:p>
    <w:sectPr w:rsidR="00F127B5" w:rsidSect="00C93E28">
      <w:pgSz w:w="16838" w:h="11906" w:orient="landscape"/>
      <w:pgMar w:top="1418" w:right="53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C1" w:rsidRDefault="00990BC1" w:rsidP="0084121B">
      <w:r>
        <w:separator/>
      </w:r>
    </w:p>
  </w:endnote>
  <w:endnote w:type="continuationSeparator" w:id="0">
    <w:p w:rsidR="00990BC1" w:rsidRDefault="00990BC1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B9A">
      <w:rPr>
        <w:noProof/>
      </w:rPr>
      <w:t>2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C1" w:rsidRDefault="00990BC1" w:rsidP="0084121B">
      <w:r>
        <w:separator/>
      </w:r>
    </w:p>
  </w:footnote>
  <w:footnote w:type="continuationSeparator" w:id="0">
    <w:p w:rsidR="00990BC1" w:rsidRDefault="00990BC1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71E00"/>
    <w:multiLevelType w:val="multilevel"/>
    <w:tmpl w:val="2BF2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"/>
  </w:num>
  <w:num w:numId="5">
    <w:abstractNumId w:val="16"/>
  </w:num>
  <w:num w:numId="6">
    <w:abstractNumId w:val="19"/>
  </w:num>
  <w:num w:numId="7">
    <w:abstractNumId w:val="22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11"/>
  </w:num>
  <w:num w:numId="20">
    <w:abstractNumId w:val="15"/>
  </w:num>
  <w:num w:numId="21">
    <w:abstractNumId w:val="9"/>
  </w:num>
  <w:num w:numId="22">
    <w:abstractNumId w:val="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110F8"/>
    <w:rsid w:val="00025D8A"/>
    <w:rsid w:val="0013245E"/>
    <w:rsid w:val="0014390A"/>
    <w:rsid w:val="00162C08"/>
    <w:rsid w:val="00195D54"/>
    <w:rsid w:val="001A3398"/>
    <w:rsid w:val="001D7603"/>
    <w:rsid w:val="00234640"/>
    <w:rsid w:val="0024563A"/>
    <w:rsid w:val="00252DF8"/>
    <w:rsid w:val="00273F5E"/>
    <w:rsid w:val="002770A9"/>
    <w:rsid w:val="002874EF"/>
    <w:rsid w:val="002A3F45"/>
    <w:rsid w:val="002B3F50"/>
    <w:rsid w:val="002D2E51"/>
    <w:rsid w:val="003038C0"/>
    <w:rsid w:val="00314E92"/>
    <w:rsid w:val="0033263D"/>
    <w:rsid w:val="00340430"/>
    <w:rsid w:val="0034308E"/>
    <w:rsid w:val="0036052D"/>
    <w:rsid w:val="003655B1"/>
    <w:rsid w:val="003714E7"/>
    <w:rsid w:val="0038538B"/>
    <w:rsid w:val="003B2632"/>
    <w:rsid w:val="003B480D"/>
    <w:rsid w:val="003D607D"/>
    <w:rsid w:val="00422621"/>
    <w:rsid w:val="004318BB"/>
    <w:rsid w:val="00432F95"/>
    <w:rsid w:val="00442679"/>
    <w:rsid w:val="00453F75"/>
    <w:rsid w:val="00487942"/>
    <w:rsid w:val="00495AE3"/>
    <w:rsid w:val="004B648A"/>
    <w:rsid w:val="004C41EA"/>
    <w:rsid w:val="00562EC0"/>
    <w:rsid w:val="00564689"/>
    <w:rsid w:val="00594BEF"/>
    <w:rsid w:val="005A4364"/>
    <w:rsid w:val="005A5263"/>
    <w:rsid w:val="005E42EF"/>
    <w:rsid w:val="00605448"/>
    <w:rsid w:val="006056BE"/>
    <w:rsid w:val="006119C6"/>
    <w:rsid w:val="0064489A"/>
    <w:rsid w:val="00654B9A"/>
    <w:rsid w:val="00662F1B"/>
    <w:rsid w:val="006647FF"/>
    <w:rsid w:val="006A2072"/>
    <w:rsid w:val="006D04F6"/>
    <w:rsid w:val="006D4019"/>
    <w:rsid w:val="0070769B"/>
    <w:rsid w:val="00721328"/>
    <w:rsid w:val="007219EE"/>
    <w:rsid w:val="00747992"/>
    <w:rsid w:val="007B45C7"/>
    <w:rsid w:val="007C759D"/>
    <w:rsid w:val="007F640C"/>
    <w:rsid w:val="00802E3A"/>
    <w:rsid w:val="00804EBF"/>
    <w:rsid w:val="008053AF"/>
    <w:rsid w:val="00805B97"/>
    <w:rsid w:val="00807A2F"/>
    <w:rsid w:val="0083679D"/>
    <w:rsid w:val="00837FCE"/>
    <w:rsid w:val="0084121B"/>
    <w:rsid w:val="0085287D"/>
    <w:rsid w:val="0087000D"/>
    <w:rsid w:val="008A0B96"/>
    <w:rsid w:val="008A2F30"/>
    <w:rsid w:val="008A5AE3"/>
    <w:rsid w:val="008D3552"/>
    <w:rsid w:val="008E0FDC"/>
    <w:rsid w:val="009125BA"/>
    <w:rsid w:val="0094419B"/>
    <w:rsid w:val="00964B77"/>
    <w:rsid w:val="00973DB1"/>
    <w:rsid w:val="00977D92"/>
    <w:rsid w:val="00990BC1"/>
    <w:rsid w:val="009C3EB6"/>
    <w:rsid w:val="00A11DB4"/>
    <w:rsid w:val="00A460D1"/>
    <w:rsid w:val="00A56AB9"/>
    <w:rsid w:val="00A74BE2"/>
    <w:rsid w:val="00A77C0B"/>
    <w:rsid w:val="00A83130"/>
    <w:rsid w:val="00AC3B52"/>
    <w:rsid w:val="00AE24A7"/>
    <w:rsid w:val="00AE7F68"/>
    <w:rsid w:val="00AF0180"/>
    <w:rsid w:val="00AF11DB"/>
    <w:rsid w:val="00B06295"/>
    <w:rsid w:val="00B342CB"/>
    <w:rsid w:val="00B74788"/>
    <w:rsid w:val="00B96957"/>
    <w:rsid w:val="00BD74D8"/>
    <w:rsid w:val="00C06387"/>
    <w:rsid w:val="00C7425B"/>
    <w:rsid w:val="00C93E28"/>
    <w:rsid w:val="00C9452F"/>
    <w:rsid w:val="00CC219F"/>
    <w:rsid w:val="00CC67E6"/>
    <w:rsid w:val="00CD23D2"/>
    <w:rsid w:val="00D41829"/>
    <w:rsid w:val="00D50CF7"/>
    <w:rsid w:val="00DA7E23"/>
    <w:rsid w:val="00DC3BE5"/>
    <w:rsid w:val="00DE71FA"/>
    <w:rsid w:val="00DF5C29"/>
    <w:rsid w:val="00E11F8C"/>
    <w:rsid w:val="00E14E77"/>
    <w:rsid w:val="00E260D0"/>
    <w:rsid w:val="00E51322"/>
    <w:rsid w:val="00E76883"/>
    <w:rsid w:val="00E81063"/>
    <w:rsid w:val="00EC0A8E"/>
    <w:rsid w:val="00ED5181"/>
    <w:rsid w:val="00EF72D0"/>
    <w:rsid w:val="00F127B5"/>
    <w:rsid w:val="00F14B3A"/>
    <w:rsid w:val="00F52F9B"/>
    <w:rsid w:val="00F54C16"/>
    <w:rsid w:val="00F7588E"/>
    <w:rsid w:val="00F85480"/>
    <w:rsid w:val="00F85DF6"/>
    <w:rsid w:val="00FB0416"/>
    <w:rsid w:val="00FB4401"/>
    <w:rsid w:val="00FB732A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8389-E592-4062-9FA6-B25B94E4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koda.ee/et/kutseregister/kutsestandardid/10683762/pdf/etendusasutuse-helindaja-tase-3.1.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5813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https://www.kutsekoda.ee/et/kutseregister/kutsestandardid/10683762/pdf/etendusasutuse-helindaja-tase-3.1.et.pdf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2020-03-05T14:48:00Z</dcterms:created>
  <dcterms:modified xsi:type="dcterms:W3CDTF">2020-03-05T14:48:00Z</dcterms:modified>
</cp:coreProperties>
</file>