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1">
      <w:pPr>
        <w:contextualSpacing w:val="0"/>
        <w:jc w:val="center"/>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Partner search</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1816100</wp:posOffset>
                </wp:positionH>
                <wp:positionV relativeFrom="paragraph">
                  <wp:posOffset>-114299</wp:posOffset>
                </wp:positionV>
                <wp:extent cx="2066925" cy="581025"/>
                <wp:effectExtent b="0" l="0" r="0" t="0"/>
                <wp:wrapNone/>
                <wp:docPr id="1" name=""/>
                <a:graphic>
                  <a:graphicData uri="http://schemas.microsoft.com/office/word/2010/wordprocessingShape">
                    <wps:wsp>
                      <wps:cNvSpPr/>
                      <wps:cNvPr id="2" name="Shape 2"/>
                      <wps:spPr>
                        <a:xfrm>
                          <a:off x="4317300" y="3494250"/>
                          <a:ext cx="2057400" cy="571500"/>
                        </a:xfrm>
                        <a:prstGeom prst="roundRect">
                          <a:avLst>
                            <a:gd fmla="val 16667" name="adj"/>
                          </a:avLst>
                        </a:prstGeom>
                        <a:solidFill>
                          <a:srgbClr val="FFFFFF"/>
                        </a:solidFill>
                        <a:ln cap="flat" cmpd="sng" w="9525">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1816100</wp:posOffset>
                </wp:positionH>
                <wp:positionV relativeFrom="paragraph">
                  <wp:posOffset>-114299</wp:posOffset>
                </wp:positionV>
                <wp:extent cx="2066925" cy="58102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066925" cy="581025"/>
                        </a:xfrm>
                        <a:prstGeom prst="rect"/>
                        <a:ln/>
                      </pic:spPr>
                    </pic:pic>
                  </a:graphicData>
                </a:graphic>
              </wp:anchor>
            </w:drawing>
          </mc:Fallback>
        </mc:AlternateContent>
      </w:r>
    </w:p>
    <w:p w:rsidR="00000000" w:rsidDel="00000000" w:rsidP="00000000" w:rsidRDefault="00000000" w:rsidRPr="00000000" w14:paraId="00000002">
      <w:pPr>
        <w:contextualSpacing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3">
      <w:pPr>
        <w:contextualSpacing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4">
      <w:pPr>
        <w:contextualSpacing w:val="0"/>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Europe for Citizens 2014-2020 </w:t>
      </w:r>
      <w:r w:rsidDel="00000000" w:rsidR="00000000" w:rsidRPr="00000000">
        <w:rPr>
          <w:rtl w:val="0"/>
        </w:rPr>
      </w:r>
    </w:p>
    <w:p w:rsidR="00000000" w:rsidDel="00000000" w:rsidP="00000000" w:rsidRDefault="00000000" w:rsidRPr="00000000" w14:paraId="00000005">
      <w:pPr>
        <w:contextualSpacing w:val="0"/>
        <w:rPr>
          <w:rFonts w:ascii="Cambria" w:cs="Cambria" w:eastAsia="Cambria" w:hAnsi="Cambria"/>
          <w:vertAlign w:val="baseline"/>
        </w:rPr>
      </w:pPr>
      <w:r w:rsidDel="00000000" w:rsidR="00000000" w:rsidRPr="00000000">
        <w:rPr>
          <w:rtl w:val="0"/>
        </w:rPr>
      </w:r>
    </w:p>
    <w:tbl>
      <w:tblPr>
        <w:tblStyle w:val="Table1"/>
        <w:tblW w:w="9142.0" w:type="dxa"/>
        <w:jc w:val="left"/>
        <w:tblInd w:w="70.0" w:type="pct"/>
        <w:tblLayout w:type="fixed"/>
        <w:tblLook w:val="0000"/>
      </w:tblPr>
      <w:tblGrid>
        <w:gridCol w:w="1829"/>
        <w:gridCol w:w="7313"/>
        <w:tblGridChange w:id="0">
          <w:tblGrid>
            <w:gridCol w:w="1829"/>
            <w:gridCol w:w="7313"/>
          </w:tblGrid>
        </w:tblGridChange>
      </w:tblGrid>
      <w:tr>
        <w:trPr>
          <w:trHeight w:val="540" w:hRule="atLeast"/>
        </w:trPr>
        <w:tc>
          <w:tcPr>
            <w:tcBorders>
              <w:right w:color="99cc00" w:space="0" w:sz="4" w:val="single"/>
            </w:tcBorders>
            <w:vAlign w:val="center"/>
          </w:tcPr>
          <w:p w:rsidR="00000000" w:rsidDel="00000000" w:rsidP="00000000" w:rsidRDefault="00000000" w:rsidRPr="00000000" w14:paraId="00000006">
            <w:pPr>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Strand/category</w:t>
            </w:r>
          </w:p>
        </w:tc>
        <w:tc>
          <w:tcPr>
            <w:tcBorders>
              <w:top w:color="99cc00" w:space="0" w:sz="4" w:val="single"/>
              <w:left w:color="99cc00" w:space="0" w:sz="4" w:val="single"/>
              <w:bottom w:color="99cc00" w:space="0" w:sz="4" w:val="single"/>
              <w:right w:color="99cc00" w:space="0" w:sz="4" w:val="single"/>
            </w:tcBorders>
            <w:vAlign w:val="center"/>
          </w:tcPr>
          <w:p w:rsidR="00000000" w:rsidDel="00000000" w:rsidP="00000000" w:rsidRDefault="00000000" w:rsidRPr="00000000" w14:paraId="00000007">
            <w:pPr>
              <w:contextualSpacing w:val="0"/>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Strand 2: Democratic engagement and civic participation. </w:t>
            </w:r>
            <w:r w:rsidDel="00000000" w:rsidR="00000000" w:rsidRPr="00000000">
              <w:rPr>
                <w:rFonts w:ascii="Cambria" w:cs="Cambria" w:eastAsia="Cambria" w:hAnsi="Cambria"/>
                <w:b w:val="1"/>
                <w:vertAlign w:val="baseline"/>
                <w:rtl w:val="0"/>
              </w:rPr>
              <w:t xml:space="preserve">Measure Civil Society Projects</w:t>
            </w:r>
            <w:r w:rsidDel="00000000" w:rsidR="00000000" w:rsidRPr="00000000">
              <w:rPr>
                <w:rtl w:val="0"/>
              </w:rPr>
            </w:r>
          </w:p>
        </w:tc>
      </w:tr>
      <w:tr>
        <w:trPr>
          <w:trHeight w:val="540" w:hRule="atLeast"/>
        </w:trPr>
        <w:tc>
          <w:tcPr>
            <w:tcBorders>
              <w:right w:color="99cc00" w:space="0" w:sz="4" w:val="single"/>
            </w:tcBorders>
            <w:vAlign w:val="center"/>
          </w:tcPr>
          <w:p w:rsidR="00000000" w:rsidDel="00000000" w:rsidP="00000000" w:rsidRDefault="00000000" w:rsidRPr="00000000" w14:paraId="00000008">
            <w:pPr>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Deadline</w:t>
            </w:r>
          </w:p>
        </w:tc>
        <w:tc>
          <w:tcPr>
            <w:tcBorders>
              <w:top w:color="99cc00" w:space="0" w:sz="4" w:val="single"/>
              <w:left w:color="99cc00" w:space="0" w:sz="4" w:val="single"/>
              <w:bottom w:color="99cc00" w:space="0" w:sz="4" w:val="single"/>
              <w:right w:color="99cc00" w:space="0" w:sz="4" w:val="single"/>
            </w:tcBorders>
            <w:vAlign w:val="center"/>
          </w:tcPr>
          <w:p w:rsidR="00000000" w:rsidDel="00000000" w:rsidP="00000000" w:rsidRDefault="00000000" w:rsidRPr="00000000" w14:paraId="00000009">
            <w:pPr>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1</w:t>
            </w:r>
            <w:r w:rsidDel="00000000" w:rsidR="00000000" w:rsidRPr="00000000">
              <w:rPr>
                <w:rFonts w:ascii="Cambria" w:cs="Cambria" w:eastAsia="Cambria" w:hAnsi="Cambria"/>
                <w:vertAlign w:val="superscript"/>
                <w:rtl w:val="0"/>
              </w:rPr>
              <w:t xml:space="preserve">st</w:t>
            </w:r>
            <w:r w:rsidDel="00000000" w:rsidR="00000000" w:rsidRPr="00000000">
              <w:rPr>
                <w:rFonts w:ascii="Cambria" w:cs="Cambria" w:eastAsia="Cambria" w:hAnsi="Cambria"/>
                <w:vertAlign w:val="baseline"/>
                <w:rtl w:val="0"/>
              </w:rPr>
              <w:t xml:space="preserve"> March 2018</w:t>
            </w:r>
          </w:p>
        </w:tc>
      </w:tr>
    </w:tbl>
    <w:p w:rsidR="00000000" w:rsidDel="00000000" w:rsidP="00000000" w:rsidRDefault="00000000" w:rsidRPr="00000000" w14:paraId="0000000A">
      <w:pPr>
        <w:contextualSpacing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B">
      <w:pPr>
        <w:contextualSpacing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C">
      <w:pPr>
        <w:contextualSpacing w:val="0"/>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Organization </w:t>
      </w:r>
      <w:r w:rsidDel="00000000" w:rsidR="00000000" w:rsidRPr="00000000">
        <w:rPr>
          <w:rtl w:val="0"/>
        </w:rPr>
      </w:r>
    </w:p>
    <w:p w:rsidR="00000000" w:rsidDel="00000000" w:rsidP="00000000" w:rsidRDefault="00000000" w:rsidRPr="00000000" w14:paraId="0000000D">
      <w:pPr>
        <w:contextualSpacing w:val="0"/>
        <w:rPr>
          <w:rFonts w:ascii="Cambria" w:cs="Cambria" w:eastAsia="Cambria" w:hAnsi="Cambria"/>
          <w:vertAlign w:val="baseline"/>
        </w:rPr>
      </w:pPr>
      <w:r w:rsidDel="00000000" w:rsidR="00000000" w:rsidRPr="00000000">
        <w:rPr>
          <w:rtl w:val="0"/>
        </w:rPr>
      </w:r>
    </w:p>
    <w:tbl>
      <w:tblPr>
        <w:tblStyle w:val="Table2"/>
        <w:tblW w:w="9142.0" w:type="dxa"/>
        <w:jc w:val="left"/>
        <w:tblInd w:w="70.0" w:type="pct"/>
        <w:tblLayout w:type="fixed"/>
        <w:tblLook w:val="0000"/>
      </w:tblPr>
      <w:tblGrid>
        <w:gridCol w:w="1800"/>
        <w:gridCol w:w="7342"/>
        <w:tblGridChange w:id="0">
          <w:tblGrid>
            <w:gridCol w:w="1800"/>
            <w:gridCol w:w="7342"/>
          </w:tblGrid>
        </w:tblGridChange>
      </w:tblGrid>
      <w:tr>
        <w:trPr>
          <w:trHeight w:val="540" w:hRule="atLeast"/>
        </w:trPr>
        <w:tc>
          <w:tcPr>
            <w:tcBorders>
              <w:right w:color="99cc00" w:space="0" w:sz="4" w:val="single"/>
            </w:tcBorders>
            <w:vAlign w:val="center"/>
          </w:tcPr>
          <w:p w:rsidR="00000000" w:rsidDel="00000000" w:rsidP="00000000" w:rsidRDefault="00000000" w:rsidRPr="00000000" w14:paraId="0000000E">
            <w:pPr>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Name</w:t>
            </w:r>
          </w:p>
        </w:tc>
        <w:tc>
          <w:tcPr>
            <w:tcBorders>
              <w:top w:color="99cc00" w:space="0" w:sz="4" w:val="single"/>
              <w:left w:color="99cc00" w:space="0" w:sz="4" w:val="single"/>
              <w:bottom w:color="99cc00" w:space="0" w:sz="4" w:val="single"/>
              <w:right w:color="99cc00" w:space="0" w:sz="4" w:val="single"/>
            </w:tcBorders>
            <w:vAlign w:val="center"/>
          </w:tcPr>
          <w:p w:rsidR="00000000" w:rsidDel="00000000" w:rsidP="00000000" w:rsidRDefault="00000000" w:rsidRPr="00000000" w14:paraId="0000000F">
            <w:pPr>
              <w:widowControl w:val="0"/>
              <w:spacing w:line="360" w:lineRule="auto"/>
              <w:contextualSpacing w:val="0"/>
              <w:jc w:val="both"/>
              <w:rPr>
                <w:rFonts w:ascii="Cambria" w:cs="Cambria" w:eastAsia="Cambria" w:hAnsi="Cambria"/>
                <w:vertAlign w:val="baseline"/>
              </w:rPr>
            </w:pPr>
            <w:r w:rsidDel="00000000" w:rsidR="00000000" w:rsidRPr="00000000">
              <w:rPr>
                <w:rFonts w:ascii="Cambria" w:cs="Cambria" w:eastAsia="Cambria" w:hAnsi="Cambria"/>
                <w:rtl w:val="0"/>
              </w:rPr>
              <w:t xml:space="preserve">Global Arena Research Institute</w:t>
            </w:r>
            <w:r w:rsidDel="00000000" w:rsidR="00000000" w:rsidRPr="00000000">
              <w:rPr>
                <w:rtl w:val="0"/>
              </w:rPr>
            </w:r>
          </w:p>
        </w:tc>
      </w:tr>
      <w:tr>
        <w:trPr>
          <w:trHeight w:val="540" w:hRule="atLeast"/>
        </w:trPr>
        <w:tc>
          <w:tcPr>
            <w:tcBorders>
              <w:right w:color="99cc00" w:space="0" w:sz="4" w:val="single"/>
            </w:tcBorders>
            <w:vAlign w:val="center"/>
          </w:tcPr>
          <w:p w:rsidR="00000000" w:rsidDel="00000000" w:rsidP="00000000" w:rsidRDefault="00000000" w:rsidRPr="00000000" w14:paraId="00000010">
            <w:pPr>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Short description</w:t>
            </w:r>
          </w:p>
        </w:tc>
        <w:tc>
          <w:tcPr>
            <w:tcBorders>
              <w:top w:color="99cc00" w:space="0" w:sz="4" w:val="single"/>
              <w:left w:color="99cc00" w:space="0" w:sz="4" w:val="single"/>
              <w:bottom w:color="99cc00" w:space="0" w:sz="4" w:val="single"/>
              <w:right w:color="99cc00" w:space="0" w:sz="4" w:val="single"/>
            </w:tcBorders>
            <w:vAlign w:val="center"/>
          </w:tcPr>
          <w:p w:rsidR="00000000" w:rsidDel="00000000" w:rsidP="00000000" w:rsidRDefault="00000000" w:rsidRPr="00000000" w14:paraId="00000011">
            <w:pPr>
              <w:spacing w:after="200" w:lineRule="auto"/>
              <w:contextualSpacing w:val="0"/>
              <w:rPr>
                <w:rFonts w:ascii="Cambria" w:cs="Cambria" w:eastAsia="Cambria" w:hAnsi="Cambria"/>
              </w:rPr>
            </w:pPr>
            <w:r w:rsidDel="00000000" w:rsidR="00000000" w:rsidRPr="00000000">
              <w:rPr>
                <w:rFonts w:ascii="Cambria" w:cs="Cambria" w:eastAsia="Cambria" w:hAnsi="Cambria"/>
                <w:rtl w:val="0"/>
              </w:rPr>
              <w:t xml:space="preserve">The Global Arena Research Initiative (GARI) connects ideas, people, researchers, institutions and supporters with the goal of establishing a revolutionary interdisciplinary research centre that aims to alter the ways we understand global processes and interactions. The research centre, GARC, will combine pioneering ways of analysing global- scale data on flows, interactions and political &amp; regulatory frameworks.</w:t>
            </w:r>
          </w:p>
          <w:p w:rsidR="00000000" w:rsidDel="00000000" w:rsidP="00000000" w:rsidRDefault="00000000" w:rsidRPr="00000000" w14:paraId="00000012">
            <w:pPr>
              <w:contextualSpacing w:val="0"/>
              <w:rPr>
                <w:rFonts w:ascii="Cambria" w:cs="Cambria" w:eastAsia="Cambria" w:hAnsi="Cambria"/>
              </w:rPr>
            </w:pPr>
            <w:r w:rsidDel="00000000" w:rsidR="00000000" w:rsidRPr="00000000">
              <w:rPr>
                <w:rFonts w:ascii="Cambria" w:cs="Cambria" w:eastAsia="Cambria" w:hAnsi="Cambria"/>
                <w:rtl w:val="0"/>
              </w:rPr>
              <w:t xml:space="preserve">The GARC consortium is composed of the world’s leading universities</w:t>
            </w:r>
          </w:p>
          <w:p w:rsidR="00000000" w:rsidDel="00000000" w:rsidP="00000000" w:rsidRDefault="00000000" w:rsidRPr="00000000" w14:paraId="00000013">
            <w:pPr>
              <w:contextualSpacing w:val="0"/>
              <w:rPr>
                <w:rFonts w:ascii="Cambria" w:cs="Cambria" w:eastAsia="Cambria" w:hAnsi="Cambria"/>
              </w:rPr>
            </w:pPr>
            <w:r w:rsidDel="00000000" w:rsidR="00000000" w:rsidRPr="00000000">
              <w:rPr>
                <w:rFonts w:ascii="Cambria" w:cs="Cambria" w:eastAsia="Cambria" w:hAnsi="Cambria"/>
                <w:rtl w:val="0"/>
              </w:rPr>
              <w:t xml:space="preserve">and research centres: Johns Hopkins University, the London School of</w:t>
            </w:r>
          </w:p>
          <w:p w:rsidR="00000000" w:rsidDel="00000000" w:rsidP="00000000" w:rsidRDefault="00000000" w:rsidRPr="00000000" w14:paraId="00000014">
            <w:pPr>
              <w:contextualSpacing w:val="0"/>
              <w:rPr>
                <w:rFonts w:ascii="Cambria" w:cs="Cambria" w:eastAsia="Cambria" w:hAnsi="Cambria"/>
              </w:rPr>
            </w:pPr>
            <w:r w:rsidDel="00000000" w:rsidR="00000000" w:rsidRPr="00000000">
              <w:rPr>
                <w:rFonts w:ascii="Cambria" w:cs="Cambria" w:eastAsia="Cambria" w:hAnsi="Cambria"/>
                <w:rtl w:val="0"/>
              </w:rPr>
              <w:t xml:space="preserve">Economics-IDEAS, the University of Aberystwyth, the Czech Institute</w:t>
            </w:r>
          </w:p>
          <w:p w:rsidR="00000000" w:rsidDel="00000000" w:rsidP="00000000" w:rsidRDefault="00000000" w:rsidRPr="00000000" w14:paraId="00000015">
            <w:pPr>
              <w:contextualSpacing w:val="0"/>
              <w:rPr>
                <w:rFonts w:ascii="Cambria" w:cs="Cambria" w:eastAsia="Cambria" w:hAnsi="Cambria"/>
              </w:rPr>
            </w:pPr>
            <w:r w:rsidDel="00000000" w:rsidR="00000000" w:rsidRPr="00000000">
              <w:rPr>
                <w:rFonts w:ascii="Cambria" w:cs="Cambria" w:eastAsia="Cambria" w:hAnsi="Cambria"/>
                <w:rtl w:val="0"/>
              </w:rPr>
              <w:t xml:space="preserve">of Informatics, Robotics and Cybernetics (CIIRC)-the Czech Technical</w:t>
            </w:r>
          </w:p>
          <w:p w:rsidR="00000000" w:rsidDel="00000000" w:rsidP="00000000" w:rsidRDefault="00000000" w:rsidRPr="00000000" w14:paraId="00000016">
            <w:pPr>
              <w:contextualSpacing w:val="0"/>
              <w:rPr>
                <w:rFonts w:ascii="Cambria" w:cs="Cambria" w:eastAsia="Cambria" w:hAnsi="Cambria"/>
              </w:rPr>
            </w:pPr>
            <w:r w:rsidDel="00000000" w:rsidR="00000000" w:rsidRPr="00000000">
              <w:rPr>
                <w:rFonts w:ascii="Cambria" w:cs="Cambria" w:eastAsia="Cambria" w:hAnsi="Cambria"/>
                <w:rtl w:val="0"/>
              </w:rPr>
              <w:t xml:space="preserve">University, Charles University, Global Change Research Institute of the</w:t>
            </w:r>
          </w:p>
          <w:p w:rsidR="00000000" w:rsidDel="00000000" w:rsidP="00000000" w:rsidRDefault="00000000" w:rsidRPr="00000000" w14:paraId="00000017">
            <w:pPr>
              <w:contextualSpacing w:val="0"/>
              <w:rPr>
                <w:rFonts w:ascii="Cambria" w:cs="Cambria" w:eastAsia="Cambria" w:hAnsi="Cambria"/>
              </w:rPr>
            </w:pPr>
            <w:r w:rsidDel="00000000" w:rsidR="00000000" w:rsidRPr="00000000">
              <w:rPr>
                <w:rFonts w:ascii="Cambria" w:cs="Cambria" w:eastAsia="Cambria" w:hAnsi="Cambria"/>
                <w:rtl w:val="0"/>
              </w:rPr>
              <w:t xml:space="preserve">Czech Academy of Sciences (CzechGlobe) Masaryk University and the</w:t>
            </w:r>
          </w:p>
          <w:p w:rsidR="00000000" w:rsidDel="00000000" w:rsidP="00000000" w:rsidRDefault="00000000" w:rsidRPr="00000000" w14:paraId="00000018">
            <w:pPr>
              <w:spacing w:after="200" w:lineRule="auto"/>
              <w:contextualSpacing w:val="0"/>
              <w:rPr>
                <w:rFonts w:ascii="Cambria" w:cs="Cambria" w:eastAsia="Cambria" w:hAnsi="Cambria"/>
              </w:rPr>
            </w:pPr>
            <w:r w:rsidDel="00000000" w:rsidR="00000000" w:rsidRPr="00000000">
              <w:rPr>
                <w:rFonts w:ascii="Cambria" w:cs="Cambria" w:eastAsia="Cambria" w:hAnsi="Cambria"/>
                <w:rtl w:val="0"/>
              </w:rPr>
              <w:t xml:space="preserve">Institute of International Relations.</w:t>
            </w:r>
          </w:p>
          <w:p w:rsidR="00000000" w:rsidDel="00000000" w:rsidP="00000000" w:rsidRDefault="00000000" w:rsidRPr="00000000" w14:paraId="00000019">
            <w:pPr>
              <w:contextualSpacing w:val="0"/>
              <w:rPr>
                <w:rFonts w:ascii="Cambria" w:cs="Cambria" w:eastAsia="Cambria" w:hAnsi="Cambria"/>
              </w:rPr>
            </w:pPr>
            <w:r w:rsidDel="00000000" w:rsidR="00000000" w:rsidRPr="00000000">
              <w:rPr>
                <w:rFonts w:ascii="Cambria" w:cs="Cambria" w:eastAsia="Cambria" w:hAnsi="Cambria"/>
                <w:rtl w:val="0"/>
              </w:rPr>
              <w:t xml:space="preserve">GARI was founded in 2017. We aim to fundamentally enhance society’s understanding of the global and international processes and flows by utilizing a pioneering interdisciplinary approach to the study of the global arena and the global order. </w:t>
            </w:r>
            <w:r w:rsidDel="00000000" w:rsidR="00000000" w:rsidRPr="00000000">
              <w:rPr>
                <w:rtl w:val="0"/>
              </w:rPr>
            </w:r>
          </w:p>
        </w:tc>
      </w:tr>
      <w:tr>
        <w:trPr>
          <w:trHeight w:val="860" w:hRule="atLeast"/>
        </w:trPr>
        <w:tc>
          <w:tcPr>
            <w:tcBorders>
              <w:right w:color="99cc00" w:space="0" w:sz="4" w:val="single"/>
            </w:tcBorders>
            <w:vAlign w:val="center"/>
          </w:tcPr>
          <w:p w:rsidR="00000000" w:rsidDel="00000000" w:rsidP="00000000" w:rsidRDefault="00000000" w:rsidRPr="00000000" w14:paraId="0000001A">
            <w:pPr>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Contact details</w:t>
            </w:r>
          </w:p>
        </w:tc>
        <w:tc>
          <w:tcPr>
            <w:tcBorders>
              <w:top w:color="99cc00" w:space="0" w:sz="4" w:val="single"/>
              <w:left w:color="99cc00" w:space="0" w:sz="4" w:val="single"/>
              <w:bottom w:color="99cc00" w:space="0" w:sz="4" w:val="single"/>
              <w:right w:color="99cc00" w:space="0" w:sz="4" w:val="single"/>
            </w:tcBorders>
            <w:vAlign w:val="center"/>
          </w:tcPr>
          <w:p w:rsidR="00000000" w:rsidDel="00000000" w:rsidP="00000000" w:rsidRDefault="00000000" w:rsidRPr="00000000" w14:paraId="0000001B">
            <w:pPr>
              <w:contextualSpacing w:val="0"/>
              <w:rPr>
                <w:rFonts w:ascii="Cambria" w:cs="Cambria" w:eastAsia="Cambria" w:hAnsi="Cambria"/>
              </w:rPr>
            </w:pPr>
            <w:r w:rsidDel="00000000" w:rsidR="00000000" w:rsidRPr="00000000">
              <w:rPr>
                <w:rFonts w:ascii="Cambria" w:cs="Cambria" w:eastAsia="Cambria" w:hAnsi="Cambria"/>
                <w:rtl w:val="0"/>
              </w:rPr>
              <w:t xml:space="preserve">Odessa Primus +420 776331657</w:t>
            </w:r>
          </w:p>
          <w:p w:rsidR="00000000" w:rsidDel="00000000" w:rsidP="00000000" w:rsidRDefault="00000000" w:rsidRPr="00000000" w14:paraId="0000001C">
            <w:pPr>
              <w:contextualSpacing w:val="0"/>
              <w:rPr>
                <w:rFonts w:ascii="Cambria" w:cs="Cambria" w:eastAsia="Cambria" w:hAnsi="Cambria"/>
                <w:vertAlign w:val="baseline"/>
              </w:rPr>
            </w:pPr>
            <w:r w:rsidDel="00000000" w:rsidR="00000000" w:rsidRPr="00000000">
              <w:rPr>
                <w:rFonts w:ascii="Cambria" w:cs="Cambria" w:eastAsia="Cambria" w:hAnsi="Cambria"/>
                <w:rtl w:val="0"/>
              </w:rPr>
              <w:t xml:space="preserve">odessa@globari.org</w:t>
            </w:r>
            <w:r w:rsidDel="00000000" w:rsidR="00000000" w:rsidRPr="00000000">
              <w:rPr>
                <w:rtl w:val="0"/>
              </w:rPr>
            </w:r>
          </w:p>
        </w:tc>
      </w:tr>
    </w:tbl>
    <w:p w:rsidR="00000000" w:rsidDel="00000000" w:rsidP="00000000" w:rsidRDefault="00000000" w:rsidRPr="00000000" w14:paraId="0000001D">
      <w:pPr>
        <w:contextualSpacing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E">
      <w:pPr>
        <w:contextualSpacing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F">
      <w:pPr>
        <w:contextualSpacing w:val="0"/>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Project </w:t>
      </w:r>
      <w:r w:rsidDel="00000000" w:rsidR="00000000" w:rsidRPr="00000000">
        <w:rPr>
          <w:rtl w:val="0"/>
        </w:rPr>
      </w:r>
    </w:p>
    <w:p w:rsidR="00000000" w:rsidDel="00000000" w:rsidP="00000000" w:rsidRDefault="00000000" w:rsidRPr="00000000" w14:paraId="00000020">
      <w:pPr>
        <w:contextualSpacing w:val="0"/>
        <w:rPr>
          <w:rFonts w:ascii="Cambria" w:cs="Cambria" w:eastAsia="Cambria" w:hAnsi="Cambria"/>
          <w:vertAlign w:val="baseline"/>
        </w:rPr>
      </w:pPr>
      <w:r w:rsidDel="00000000" w:rsidR="00000000" w:rsidRPr="00000000">
        <w:rPr>
          <w:rtl w:val="0"/>
        </w:rPr>
      </w:r>
    </w:p>
    <w:tbl>
      <w:tblPr>
        <w:tblStyle w:val="Table3"/>
        <w:tblW w:w="9142.0" w:type="dxa"/>
        <w:jc w:val="left"/>
        <w:tblInd w:w="70.0" w:type="pct"/>
        <w:tblLayout w:type="fixed"/>
        <w:tblLook w:val="0000"/>
      </w:tblPr>
      <w:tblGrid>
        <w:gridCol w:w="1800"/>
        <w:gridCol w:w="7342"/>
        <w:tblGridChange w:id="0">
          <w:tblGrid>
            <w:gridCol w:w="1800"/>
            <w:gridCol w:w="7342"/>
          </w:tblGrid>
        </w:tblGridChange>
      </w:tblGrid>
      <w:tr>
        <w:trPr>
          <w:trHeight w:val="540" w:hRule="atLeast"/>
        </w:trPr>
        <w:tc>
          <w:tcPr>
            <w:tcBorders>
              <w:right w:color="99cc00" w:space="0" w:sz="4" w:val="single"/>
            </w:tcBorders>
            <w:vAlign w:val="center"/>
          </w:tcPr>
          <w:p w:rsidR="00000000" w:rsidDel="00000000" w:rsidP="00000000" w:rsidRDefault="00000000" w:rsidRPr="00000000" w14:paraId="00000021">
            <w:pPr>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Field(s)</w:t>
            </w:r>
          </w:p>
        </w:tc>
        <w:tc>
          <w:tcPr>
            <w:tcBorders>
              <w:top w:color="99cc00" w:space="0" w:sz="4" w:val="single"/>
              <w:left w:color="99cc00" w:space="0" w:sz="4" w:val="single"/>
              <w:bottom w:color="99cc00" w:space="0" w:sz="4" w:val="single"/>
              <w:right w:color="99cc00" w:space="0" w:sz="4" w:val="single"/>
            </w:tcBorders>
            <w:vAlign w:val="center"/>
          </w:tcPr>
          <w:p w:rsidR="00000000" w:rsidDel="00000000" w:rsidP="00000000" w:rsidRDefault="00000000" w:rsidRPr="00000000" w14:paraId="00000022">
            <w:pPr>
              <w:contextualSpacing w:val="0"/>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Strand 2: Democratic engagement and civic participation. </w:t>
            </w:r>
            <w:r w:rsidDel="00000000" w:rsidR="00000000" w:rsidRPr="00000000">
              <w:rPr>
                <w:rFonts w:ascii="Cambria" w:cs="Cambria" w:eastAsia="Cambria" w:hAnsi="Cambria"/>
                <w:b w:val="1"/>
                <w:vertAlign w:val="baseline"/>
                <w:rtl w:val="0"/>
              </w:rPr>
              <w:t xml:space="preserve">Measure Civil Society Projects</w:t>
            </w:r>
            <w:r w:rsidDel="00000000" w:rsidR="00000000" w:rsidRPr="00000000">
              <w:rPr>
                <w:rtl w:val="0"/>
              </w:rPr>
            </w:r>
          </w:p>
          <w:p w:rsidR="00000000" w:rsidDel="00000000" w:rsidP="00000000" w:rsidRDefault="00000000" w:rsidRPr="00000000" w14:paraId="00000023">
            <w:pPr>
              <w:numPr>
                <w:ilvl w:val="0"/>
                <w:numId w:val="7"/>
              </w:numPr>
              <w:ind w:left="720" w:hanging="360"/>
              <w:contextualSpacing w:val="0"/>
              <w:rPr>
                <w:rFonts w:ascii="Cambria" w:cs="Cambria" w:eastAsia="Cambria" w:hAnsi="Cambria"/>
                <w:sz w:val="24"/>
                <w:szCs w:val="24"/>
              </w:rPr>
            </w:pPr>
            <w:r w:rsidDel="00000000" w:rsidR="00000000" w:rsidRPr="00000000">
              <w:rPr>
                <w:rFonts w:ascii="Cambria" w:cs="Cambria" w:eastAsia="Cambria" w:hAnsi="Cambria"/>
                <w:b w:val="1"/>
                <w:i w:val="1"/>
                <w:vertAlign w:val="baseline"/>
                <w:rtl w:val="0"/>
              </w:rPr>
              <w:t xml:space="preserve">Debating the future of Europe </w:t>
            </w:r>
            <w:r w:rsidDel="00000000" w:rsidR="00000000" w:rsidRPr="00000000">
              <w:rPr>
                <w:rtl w:val="0"/>
              </w:rPr>
            </w:r>
          </w:p>
          <w:p w:rsidR="00000000" w:rsidDel="00000000" w:rsidP="00000000" w:rsidRDefault="00000000" w:rsidRPr="00000000" w14:paraId="00000024">
            <w:pPr>
              <w:numPr>
                <w:ilvl w:val="0"/>
                <w:numId w:val="7"/>
              </w:numPr>
              <w:ind w:left="720" w:hanging="360"/>
              <w:contextualSpacing w:val="0"/>
              <w:rPr>
                <w:rFonts w:ascii="Cambria" w:cs="Cambria" w:eastAsia="Cambria" w:hAnsi="Cambria"/>
                <w:sz w:val="24"/>
                <w:szCs w:val="24"/>
              </w:rPr>
            </w:pPr>
            <w:r w:rsidDel="00000000" w:rsidR="00000000" w:rsidRPr="00000000">
              <w:rPr>
                <w:rFonts w:ascii="Cambria" w:cs="Cambria" w:eastAsia="Cambria" w:hAnsi="Cambria"/>
                <w:b w:val="1"/>
                <w:i w:val="1"/>
                <w:vertAlign w:val="baseline"/>
                <w:rtl w:val="0"/>
              </w:rPr>
              <w:t xml:space="preserve">European Year of Cultural Heritage 2018 - 100 years since the end </w:t>
            </w:r>
            <w:r w:rsidDel="00000000" w:rsidR="00000000" w:rsidRPr="00000000">
              <w:rPr>
                <w:rFonts w:ascii="Cambria" w:cs="Cambria" w:eastAsia="Cambria" w:hAnsi="Cambria"/>
                <w:b w:val="1"/>
                <w:i w:val="1"/>
                <w:rtl w:val="0"/>
              </w:rPr>
              <w:t xml:space="preserve">of WWI</w:t>
            </w:r>
            <w:r w:rsidDel="00000000" w:rsidR="00000000" w:rsidRPr="00000000">
              <w:rPr>
                <w:rtl w:val="0"/>
              </w:rPr>
            </w:r>
          </w:p>
        </w:tc>
      </w:tr>
      <w:tr>
        <w:trPr>
          <w:trHeight w:val="1300" w:hRule="atLeast"/>
        </w:trPr>
        <w:tc>
          <w:tcPr>
            <w:tcBorders>
              <w:right w:color="99cc00" w:space="0" w:sz="4" w:val="single"/>
            </w:tcBorders>
            <w:vAlign w:val="center"/>
          </w:tcPr>
          <w:p w:rsidR="00000000" w:rsidDel="00000000" w:rsidP="00000000" w:rsidRDefault="00000000" w:rsidRPr="00000000" w14:paraId="00000025">
            <w:pPr>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Description</w:t>
            </w:r>
          </w:p>
        </w:tc>
        <w:tc>
          <w:tcPr>
            <w:tcBorders>
              <w:top w:color="99cc00" w:space="0" w:sz="4" w:val="single"/>
              <w:left w:color="99cc00" w:space="0" w:sz="4" w:val="single"/>
              <w:bottom w:color="99cc00" w:space="0" w:sz="4" w:val="single"/>
              <w:right w:color="99cc00" w:space="0" w:sz="4" w:val="single"/>
            </w:tcBorders>
            <w:vAlign w:val="center"/>
          </w:tcPr>
          <w:p w:rsidR="00000000" w:rsidDel="00000000" w:rsidP="00000000" w:rsidRDefault="00000000" w:rsidRPr="00000000" w14:paraId="00000026">
            <w:pPr>
              <w:spacing w:after="200" w:lineRule="auto"/>
              <w:contextualSpacing w:val="0"/>
              <w:rPr>
                <w:rFonts w:ascii="Cambria" w:cs="Cambria" w:eastAsia="Cambria" w:hAnsi="Cambria"/>
              </w:rPr>
            </w:pPr>
            <w:r w:rsidDel="00000000" w:rsidR="00000000" w:rsidRPr="00000000">
              <w:rPr>
                <w:rFonts w:ascii="Cambria" w:cs="Cambria" w:eastAsia="Cambria" w:hAnsi="Cambria"/>
                <w:rtl w:val="0"/>
              </w:rPr>
              <w:t xml:space="preserve">We are the applicant organisation and looking for partners.</w:t>
            </w:r>
          </w:p>
          <w:p w:rsidR="00000000" w:rsidDel="00000000" w:rsidP="00000000" w:rsidRDefault="00000000" w:rsidRPr="00000000" w14:paraId="00000027">
            <w:pPr>
              <w:shd w:fill="ffffff" w:val="clear"/>
              <w:spacing w:after="200" w:line="276" w:lineRule="auto"/>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The Next One Hundred Symposium is taking place in </w:t>
            </w:r>
            <w:r w:rsidDel="00000000" w:rsidR="00000000" w:rsidRPr="00000000">
              <w:rPr>
                <w:rFonts w:ascii="Cambria" w:cs="Cambria" w:eastAsia="Cambria" w:hAnsi="Cambria"/>
                <w:b w:val="1"/>
                <w:highlight w:val="white"/>
                <w:rtl w:val="0"/>
              </w:rPr>
              <w:t xml:space="preserve">Prague</w:t>
            </w:r>
            <w:r w:rsidDel="00000000" w:rsidR="00000000" w:rsidRPr="00000000">
              <w:rPr>
                <w:rFonts w:ascii="Cambria" w:cs="Cambria" w:eastAsia="Cambria" w:hAnsi="Cambria"/>
                <w:highlight w:val="white"/>
                <w:rtl w:val="0"/>
              </w:rPr>
              <w:t xml:space="preserve">, Czech Republic on the </w:t>
            </w:r>
            <w:r w:rsidDel="00000000" w:rsidR="00000000" w:rsidRPr="00000000">
              <w:rPr>
                <w:rFonts w:ascii="Cambria" w:cs="Cambria" w:eastAsia="Cambria" w:hAnsi="Cambria"/>
                <w:b w:val="1"/>
                <w:highlight w:val="white"/>
                <w:rtl w:val="0"/>
              </w:rPr>
              <w:t xml:space="preserve">15th and 16th of November 2018!</w:t>
            </w:r>
            <w:r w:rsidDel="00000000" w:rsidR="00000000" w:rsidRPr="00000000">
              <w:rPr>
                <w:rtl w:val="0"/>
              </w:rPr>
            </w:r>
          </w:p>
          <w:p w:rsidR="00000000" w:rsidDel="00000000" w:rsidP="00000000" w:rsidRDefault="00000000" w:rsidRPr="00000000" w14:paraId="00000028">
            <w:pPr>
              <w:spacing w:after="200" w:line="276"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Recognising the pressing need and the amazing potential for the social sciences and technological innovation to come together, </w:t>
            </w:r>
            <w:r w:rsidDel="00000000" w:rsidR="00000000" w:rsidRPr="00000000">
              <w:rPr>
                <w:rFonts w:ascii="Cambria" w:cs="Cambria" w:eastAsia="Cambria" w:hAnsi="Cambria"/>
                <w:b w:val="1"/>
                <w:rtl w:val="0"/>
              </w:rPr>
              <w:t xml:space="preserve">The Next 100 Symposium</w:t>
            </w:r>
            <w:r w:rsidDel="00000000" w:rsidR="00000000" w:rsidRPr="00000000">
              <w:rPr>
                <w:rFonts w:ascii="Cambria" w:cs="Cambria" w:eastAsia="Cambria" w:hAnsi="Cambria"/>
                <w:rtl w:val="0"/>
              </w:rPr>
              <w:t xml:space="preserve"> aims to provide a platform for transformative dialogue between those working with society’s most cutting-edge technology and the social sciences. </w:t>
            </w:r>
          </w:p>
          <w:p w:rsidR="00000000" w:rsidDel="00000000" w:rsidP="00000000" w:rsidRDefault="00000000" w:rsidRPr="00000000" w14:paraId="00000029">
            <w:pPr>
              <w:spacing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The Next 100 Symposium 2018/19 - Prague</w:t>
            </w:r>
          </w:p>
          <w:p w:rsidR="00000000" w:rsidDel="00000000" w:rsidP="00000000" w:rsidRDefault="00000000" w:rsidRPr="00000000" w14:paraId="0000002A">
            <w:pPr>
              <w:numPr>
                <w:ilvl w:val="0"/>
                <w:numId w:val="6"/>
              </w:numPr>
              <w:spacing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2 main plenary debates</w:t>
            </w:r>
          </w:p>
          <w:p w:rsidR="00000000" w:rsidDel="00000000" w:rsidP="00000000" w:rsidRDefault="00000000" w:rsidRPr="00000000" w14:paraId="0000002B">
            <w:pPr>
              <w:numPr>
                <w:ilvl w:val="1"/>
                <w:numId w:val="6"/>
              </w:numPr>
              <w:spacing w:before="200" w:line="276"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Main sessions of the symposium</w:t>
            </w:r>
          </w:p>
          <w:p w:rsidR="00000000" w:rsidDel="00000000" w:rsidP="00000000" w:rsidRDefault="00000000" w:rsidRPr="00000000" w14:paraId="0000002C">
            <w:pPr>
              <w:numPr>
                <w:ilvl w:val="1"/>
                <w:numId w:val="6"/>
              </w:numPr>
              <w:spacing w:before="200" w:line="276"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Keynote speakers and invited very high profile individuals</w:t>
            </w:r>
          </w:p>
          <w:p w:rsidR="00000000" w:rsidDel="00000000" w:rsidP="00000000" w:rsidRDefault="00000000" w:rsidRPr="00000000" w14:paraId="0000002D">
            <w:pPr>
              <w:numPr>
                <w:ilvl w:val="1"/>
                <w:numId w:val="6"/>
              </w:numPr>
              <w:spacing w:before="200" w:line="276"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Currently considering: IMF, Microsoft, World Wide Web Foundation</w:t>
            </w:r>
          </w:p>
          <w:p w:rsidR="00000000" w:rsidDel="00000000" w:rsidP="00000000" w:rsidRDefault="00000000" w:rsidRPr="00000000" w14:paraId="0000002E">
            <w:pPr>
              <w:numPr>
                <w:ilvl w:val="0"/>
                <w:numId w:val="6"/>
              </w:numPr>
              <w:spacing w:before="200"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+ 2 Keynotes; 4 panel debates; 4 private sessions; 4 workshops</w:t>
            </w:r>
          </w:p>
          <w:p w:rsidR="00000000" w:rsidDel="00000000" w:rsidP="00000000" w:rsidRDefault="00000000" w:rsidRPr="00000000" w14:paraId="0000002F">
            <w:pPr>
              <w:spacing w:before="200"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Other events:</w:t>
            </w:r>
          </w:p>
          <w:p w:rsidR="00000000" w:rsidDel="00000000" w:rsidP="00000000" w:rsidRDefault="00000000" w:rsidRPr="00000000" w14:paraId="00000030">
            <w:pPr>
              <w:numPr>
                <w:ilvl w:val="0"/>
                <w:numId w:val="6"/>
              </w:numPr>
              <w:spacing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Annex events in Prague pre/post-N100 Symposium</w:t>
            </w:r>
          </w:p>
          <w:p w:rsidR="00000000" w:rsidDel="00000000" w:rsidP="00000000" w:rsidRDefault="00000000" w:rsidRPr="00000000" w14:paraId="00000031">
            <w:pPr>
              <w:numPr>
                <w:ilvl w:val="1"/>
                <w:numId w:val="6"/>
              </w:numPr>
              <w:spacing w:line="276" w:lineRule="auto"/>
              <w:ind w:left="1440" w:hanging="360"/>
              <w:rPr>
                <w:rFonts w:ascii="Cambria" w:cs="Cambria" w:eastAsia="Cambria" w:hAnsi="Cambria"/>
              </w:rPr>
            </w:pPr>
            <w:r w:rsidDel="00000000" w:rsidR="00000000" w:rsidRPr="00000000">
              <w:rPr>
                <w:rFonts w:ascii="Cambria" w:cs="Cambria" w:eastAsia="Cambria" w:hAnsi="Cambria"/>
                <w:rtl w:val="0"/>
              </w:rPr>
              <w:t xml:space="preserve">Preparatory round tables </w:t>
            </w:r>
          </w:p>
          <w:p w:rsidR="00000000" w:rsidDel="00000000" w:rsidP="00000000" w:rsidRDefault="00000000" w:rsidRPr="00000000" w14:paraId="00000032">
            <w:pPr>
              <w:numPr>
                <w:ilvl w:val="1"/>
                <w:numId w:val="6"/>
              </w:numPr>
              <w:spacing w:line="276" w:lineRule="auto"/>
              <w:ind w:left="1440" w:hanging="360"/>
              <w:rPr>
                <w:rFonts w:ascii="Cambria" w:cs="Cambria" w:eastAsia="Cambria" w:hAnsi="Cambria"/>
              </w:rPr>
            </w:pPr>
            <w:r w:rsidDel="00000000" w:rsidR="00000000" w:rsidRPr="00000000">
              <w:rPr>
                <w:rFonts w:ascii="Cambria" w:cs="Cambria" w:eastAsia="Cambria" w:hAnsi="Cambria"/>
                <w:rtl w:val="0"/>
              </w:rPr>
              <w:t xml:space="preserve">Workshops - for SMEs, entrepreneurs, think tanks, technological companies and research centers, political level workshops, policy makers, etc.</w:t>
            </w:r>
          </w:p>
          <w:p w:rsidR="00000000" w:rsidDel="00000000" w:rsidP="00000000" w:rsidRDefault="00000000" w:rsidRPr="00000000" w14:paraId="00000033">
            <w:pPr>
              <w:spacing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European N100 events - with our partners in November 2018/19</w:t>
            </w:r>
          </w:p>
          <w:p w:rsidR="00000000" w:rsidDel="00000000" w:rsidP="00000000" w:rsidRDefault="00000000" w:rsidRPr="00000000" w14:paraId="00000034">
            <w:pPr>
              <w:numPr>
                <w:ilvl w:val="0"/>
                <w:numId w:val="6"/>
              </w:numPr>
              <w:spacing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Vienna, Bratislava, Warsaw, Berlin, etc. </w:t>
            </w:r>
          </w:p>
          <w:p w:rsidR="00000000" w:rsidDel="00000000" w:rsidP="00000000" w:rsidRDefault="00000000" w:rsidRPr="00000000" w14:paraId="00000035">
            <w:pPr>
              <w:spacing w:before="200"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GARI Youth Exchange</w:t>
            </w:r>
            <w:r w:rsidDel="00000000" w:rsidR="00000000" w:rsidRPr="00000000">
              <w:rPr>
                <w:rtl w:val="0"/>
              </w:rPr>
            </w:r>
          </w:p>
          <w:p w:rsidR="00000000" w:rsidDel="00000000" w:rsidP="00000000" w:rsidRDefault="00000000" w:rsidRPr="00000000" w14:paraId="00000036">
            <w:pPr>
              <w:spacing w:after="200"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The GARI Student Project will bring together students from the fields of humanities &amp; social sciences and of technology &amp; computing science. In an open call, the students will be asked to form small international teams and to identify one particular issue they feel will be the most pressing in the future. Working collaboratively, the teams will propose such a solution that will incorporate the most innovative ideas from their respective fields - what the future can look like when these two mindsets/ fields collaborate? The winners of the competition will have the honor of presenting their solution at GARI’s Next One Hundred symposium.</w:t>
            </w:r>
            <w:r w:rsidDel="00000000" w:rsidR="00000000" w:rsidRPr="00000000">
              <w:rPr>
                <w:rtl w:val="0"/>
              </w:rPr>
            </w:r>
          </w:p>
        </w:tc>
      </w:tr>
    </w:tbl>
    <w:p w:rsidR="00000000" w:rsidDel="00000000" w:rsidP="00000000" w:rsidRDefault="00000000" w:rsidRPr="00000000" w14:paraId="00000037">
      <w:pPr>
        <w:contextualSpacing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38">
      <w:pPr>
        <w:contextualSpacing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39">
      <w:pPr>
        <w:contextualSpacing w:val="0"/>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Partners searched</w:t>
      </w:r>
      <w:r w:rsidDel="00000000" w:rsidR="00000000" w:rsidRPr="00000000">
        <w:rPr>
          <w:rtl w:val="0"/>
        </w:rPr>
      </w:r>
    </w:p>
    <w:p w:rsidR="00000000" w:rsidDel="00000000" w:rsidP="00000000" w:rsidRDefault="00000000" w:rsidRPr="00000000" w14:paraId="0000003A">
      <w:pPr>
        <w:contextualSpacing w:val="0"/>
        <w:rPr>
          <w:rFonts w:ascii="Cambria" w:cs="Cambria" w:eastAsia="Cambria" w:hAnsi="Cambria"/>
          <w:vertAlign w:val="baseline"/>
        </w:rPr>
      </w:pPr>
      <w:r w:rsidDel="00000000" w:rsidR="00000000" w:rsidRPr="00000000">
        <w:rPr>
          <w:rtl w:val="0"/>
        </w:rPr>
      </w:r>
    </w:p>
    <w:tbl>
      <w:tblPr>
        <w:tblStyle w:val="Table4"/>
        <w:tblW w:w="9142.0" w:type="dxa"/>
        <w:jc w:val="left"/>
        <w:tblInd w:w="70.0" w:type="pct"/>
        <w:tblLayout w:type="fixed"/>
        <w:tblLook w:val="0000"/>
      </w:tblPr>
      <w:tblGrid>
        <w:gridCol w:w="1800"/>
        <w:gridCol w:w="7342"/>
        <w:tblGridChange w:id="0">
          <w:tblGrid>
            <w:gridCol w:w="1800"/>
            <w:gridCol w:w="7342"/>
          </w:tblGrid>
        </w:tblGridChange>
      </w:tblGrid>
      <w:tr>
        <w:trPr>
          <w:trHeight w:val="540" w:hRule="atLeast"/>
        </w:trPr>
        <w:tc>
          <w:tcPr>
            <w:tcBorders>
              <w:right w:color="99cc00" w:space="0" w:sz="4" w:val="single"/>
            </w:tcBorders>
            <w:vAlign w:val="center"/>
          </w:tcPr>
          <w:p w:rsidR="00000000" w:rsidDel="00000000" w:rsidP="00000000" w:rsidRDefault="00000000" w:rsidRPr="00000000" w14:paraId="0000003B">
            <w:pPr>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Countries</w:t>
            </w:r>
          </w:p>
        </w:tc>
        <w:tc>
          <w:tcPr>
            <w:tcBorders>
              <w:top w:color="99cc00" w:space="0" w:sz="4" w:val="single"/>
              <w:left w:color="99cc00" w:space="0" w:sz="4" w:val="single"/>
              <w:bottom w:color="99cc00" w:space="0" w:sz="4" w:val="single"/>
              <w:right w:color="99cc00" w:space="0" w:sz="4" w:val="single"/>
            </w:tcBorders>
            <w:vAlign w:val="center"/>
          </w:tcPr>
          <w:p w:rsidR="00000000" w:rsidDel="00000000" w:rsidP="00000000" w:rsidRDefault="00000000" w:rsidRPr="00000000" w14:paraId="0000003C">
            <w:pPr>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Anyone</w:t>
            </w:r>
          </w:p>
        </w:tc>
      </w:tr>
      <w:tr>
        <w:trPr>
          <w:trHeight w:val="800" w:hRule="atLeast"/>
        </w:trPr>
        <w:tc>
          <w:tcPr>
            <w:tcBorders>
              <w:right w:color="99cc00" w:space="0" w:sz="4" w:val="single"/>
            </w:tcBorders>
            <w:vAlign w:val="center"/>
          </w:tcPr>
          <w:p w:rsidR="00000000" w:rsidDel="00000000" w:rsidP="00000000" w:rsidRDefault="00000000" w:rsidRPr="00000000" w14:paraId="0000003D">
            <w:pPr>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Profile</w:t>
            </w:r>
          </w:p>
        </w:tc>
        <w:tc>
          <w:tcPr>
            <w:tcBorders>
              <w:top w:color="99cc00" w:space="0" w:sz="4" w:val="single"/>
              <w:left w:color="99cc00" w:space="0" w:sz="4" w:val="single"/>
              <w:bottom w:color="99cc00" w:space="0" w:sz="4" w:val="single"/>
              <w:right w:color="99cc00" w:space="0" w:sz="4" w:val="single"/>
            </w:tcBorders>
            <w:vAlign w:val="center"/>
          </w:tcPr>
          <w:p w:rsidR="00000000" w:rsidDel="00000000" w:rsidP="00000000" w:rsidRDefault="00000000" w:rsidRPr="00000000" w14:paraId="0000003E">
            <w:pPr>
              <w:contextualSpacing w:val="0"/>
              <w:rPr>
                <w:rFonts w:ascii="Cambria" w:cs="Cambria" w:eastAsia="Cambria" w:hAnsi="Cambria"/>
              </w:rPr>
            </w:pPr>
            <w:r w:rsidDel="00000000" w:rsidR="00000000" w:rsidRPr="00000000">
              <w:rPr>
                <w:rFonts w:ascii="Cambria" w:cs="Cambria" w:eastAsia="Cambria" w:hAnsi="Cambria"/>
                <w:rtl w:val="0"/>
              </w:rPr>
              <w:t xml:space="preserve">Anyone with PIC - ideally have a connection to technology and innovation, looking at the future and use of innovative techniques to help address European/Global challenges</w:t>
            </w:r>
          </w:p>
        </w:tc>
      </w:tr>
    </w:tbl>
    <w:p w:rsidR="00000000" w:rsidDel="00000000" w:rsidP="00000000" w:rsidRDefault="00000000" w:rsidRPr="00000000" w14:paraId="0000003F">
      <w:pPr>
        <w:contextualSpacing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40">
      <w:pPr>
        <w:contextualSpacing w:val="0"/>
        <w:rPr>
          <w:rFonts w:ascii="Cambria" w:cs="Cambria" w:eastAsia="Cambria" w:hAnsi="Cambria"/>
        </w:rPr>
      </w:pPr>
      <w:r w:rsidDel="00000000" w:rsidR="00000000" w:rsidRPr="00000000">
        <w:rPr>
          <w:rFonts w:ascii="Cambria" w:cs="Cambria" w:eastAsia="Cambria" w:hAnsi="Cambria"/>
          <w:rtl w:val="0"/>
        </w:rPr>
        <w:t xml:space="preserve">Role</w:t>
      </w:r>
      <w:r w:rsidDel="00000000" w:rsidR="00000000" w:rsidRPr="00000000">
        <w:rPr>
          <w:rtl w:val="0"/>
        </w:rPr>
      </w:r>
    </w:p>
    <w:tbl>
      <w:tblPr>
        <w:tblStyle w:val="Table5"/>
        <w:tblW w:w="9142.0" w:type="dxa"/>
        <w:jc w:val="left"/>
        <w:tblInd w:w="70.0" w:type="pct"/>
        <w:tblLayout w:type="fixed"/>
        <w:tblLook w:val="0000"/>
      </w:tblPr>
      <w:tblGrid>
        <w:gridCol w:w="1800"/>
        <w:gridCol w:w="7342"/>
        <w:tblGridChange w:id="0">
          <w:tblGrid>
            <w:gridCol w:w="1800"/>
            <w:gridCol w:w="7342"/>
          </w:tblGrid>
        </w:tblGridChange>
      </w:tblGrid>
      <w:tr>
        <w:trPr>
          <w:trHeight w:val="540" w:hRule="atLeast"/>
        </w:trPr>
        <w:tc>
          <w:tcPr>
            <w:tcBorders>
              <w:right w:color="99cc00" w:space="0" w:sz="4" w:val="single"/>
            </w:tcBorders>
            <w:vAlign w:val="center"/>
          </w:tcPr>
          <w:p w:rsidR="00000000" w:rsidDel="00000000" w:rsidP="00000000" w:rsidRDefault="00000000" w:rsidRPr="00000000" w14:paraId="00000041">
            <w:pPr>
              <w:contextualSpacing w:val="0"/>
              <w:rPr>
                <w:rFonts w:ascii="Cambria" w:cs="Cambria" w:eastAsia="Cambria" w:hAnsi="Cambria"/>
              </w:rPr>
            </w:pPr>
            <w:r w:rsidDel="00000000" w:rsidR="00000000" w:rsidRPr="00000000">
              <w:rPr>
                <w:rFonts w:ascii="Cambria" w:cs="Cambria" w:eastAsia="Cambria" w:hAnsi="Cambria"/>
                <w:rtl w:val="0"/>
              </w:rPr>
              <w:t xml:space="preserve">…</w:t>
            </w:r>
          </w:p>
        </w:tc>
        <w:tc>
          <w:tcPr>
            <w:tcBorders>
              <w:top w:color="99cc00" w:space="0" w:sz="4" w:val="single"/>
              <w:left w:color="99cc00" w:space="0" w:sz="4" w:val="single"/>
              <w:bottom w:color="99cc00" w:space="0" w:sz="4" w:val="single"/>
              <w:right w:color="99cc00" w:space="0" w:sz="4" w:val="single"/>
            </w:tcBorders>
            <w:vAlign w:val="center"/>
          </w:tcPr>
          <w:p w:rsidR="00000000" w:rsidDel="00000000" w:rsidP="00000000" w:rsidRDefault="00000000" w:rsidRPr="00000000" w14:paraId="00000042">
            <w:pPr>
              <w:spacing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Role: </w:t>
            </w:r>
          </w:p>
          <w:p w:rsidR="00000000" w:rsidDel="00000000" w:rsidP="00000000" w:rsidRDefault="00000000" w:rsidRPr="00000000" w14:paraId="00000043">
            <w:pPr>
              <w:numPr>
                <w:ilvl w:val="0"/>
                <w:numId w:val="3"/>
              </w:numPr>
              <w:spacing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partner in the realisation of The Next 100 project and Symposium</w:t>
            </w:r>
          </w:p>
          <w:p w:rsidR="00000000" w:rsidDel="00000000" w:rsidP="00000000" w:rsidRDefault="00000000" w:rsidRPr="00000000" w14:paraId="00000044">
            <w:pPr>
              <w:numPr>
                <w:ilvl w:val="0"/>
                <w:numId w:val="3"/>
              </w:numPr>
              <w:spacing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Co-hosts of sessions at the Symposium</w:t>
            </w:r>
          </w:p>
          <w:p w:rsidR="00000000" w:rsidDel="00000000" w:rsidP="00000000" w:rsidRDefault="00000000" w:rsidRPr="00000000" w14:paraId="00000045">
            <w:pPr>
              <w:numPr>
                <w:ilvl w:val="0"/>
                <w:numId w:val="3"/>
              </w:numPr>
              <w:spacing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Host of annex events in partner’s country</w:t>
            </w:r>
          </w:p>
          <w:p w:rsidR="00000000" w:rsidDel="00000000" w:rsidP="00000000" w:rsidRDefault="00000000" w:rsidRPr="00000000" w14:paraId="00000046">
            <w:pPr>
              <w:numPr>
                <w:ilvl w:val="0"/>
                <w:numId w:val="3"/>
              </w:numPr>
              <w:spacing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Contribution to program: nominating program board members and chairs</w:t>
            </w:r>
          </w:p>
          <w:p w:rsidR="00000000" w:rsidDel="00000000" w:rsidP="00000000" w:rsidRDefault="00000000" w:rsidRPr="00000000" w14:paraId="00000047">
            <w:pPr>
              <w:numPr>
                <w:ilvl w:val="0"/>
                <w:numId w:val="3"/>
              </w:numPr>
              <w:spacing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Assisting in the Youth Exchange realisation</w:t>
            </w:r>
          </w:p>
          <w:p w:rsidR="00000000" w:rsidDel="00000000" w:rsidP="00000000" w:rsidRDefault="00000000" w:rsidRPr="00000000" w14:paraId="00000048">
            <w:pPr>
              <w:spacing w:before="200"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Taks:</w:t>
            </w:r>
          </w:p>
          <w:p w:rsidR="00000000" w:rsidDel="00000000" w:rsidP="00000000" w:rsidRDefault="00000000" w:rsidRPr="00000000" w14:paraId="00000049">
            <w:pPr>
              <w:numPr>
                <w:ilvl w:val="0"/>
                <w:numId w:val="5"/>
              </w:numPr>
              <w:spacing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Organise annex event of Next 100 Symposium in your country for November 2018/19</w:t>
            </w:r>
          </w:p>
          <w:p w:rsidR="00000000" w:rsidDel="00000000" w:rsidP="00000000" w:rsidRDefault="00000000" w:rsidRPr="00000000" w14:paraId="0000004A">
            <w:pPr>
              <w:numPr>
                <w:ilvl w:val="0"/>
                <w:numId w:val="5"/>
              </w:numPr>
              <w:spacing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Provide suggestions and connections to speakers for N100 events</w:t>
            </w:r>
          </w:p>
          <w:p w:rsidR="00000000" w:rsidDel="00000000" w:rsidP="00000000" w:rsidRDefault="00000000" w:rsidRPr="00000000" w14:paraId="0000004B">
            <w:pPr>
              <w:numPr>
                <w:ilvl w:val="0"/>
                <w:numId w:val="5"/>
              </w:numPr>
              <w:spacing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Suggest and nominate mentors for the Youth Exchange</w:t>
            </w:r>
          </w:p>
          <w:p w:rsidR="00000000" w:rsidDel="00000000" w:rsidP="00000000" w:rsidRDefault="00000000" w:rsidRPr="00000000" w14:paraId="0000004C">
            <w:pPr>
              <w:numPr>
                <w:ilvl w:val="0"/>
                <w:numId w:val="5"/>
              </w:numPr>
              <w:spacing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Assessment and evaluation of Youth Exchange applicants</w:t>
            </w:r>
          </w:p>
          <w:p w:rsidR="00000000" w:rsidDel="00000000" w:rsidP="00000000" w:rsidRDefault="00000000" w:rsidRPr="00000000" w14:paraId="0000004D">
            <w:pPr>
              <w:spacing w:before="200"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Commitments:</w:t>
            </w:r>
          </w:p>
          <w:p w:rsidR="00000000" w:rsidDel="00000000" w:rsidP="00000000" w:rsidRDefault="00000000" w:rsidRPr="00000000" w14:paraId="0000004E">
            <w:pPr>
              <w:numPr>
                <w:ilvl w:val="0"/>
                <w:numId w:val="1"/>
              </w:numPr>
              <w:spacing w:before="0" w:line="276" w:lineRule="auto"/>
              <w:ind w:left="720" w:hanging="360"/>
              <w:contextualSpacing w:val="0"/>
              <w:rPr>
                <w:rFonts w:ascii="Cambria" w:cs="Cambria" w:eastAsia="Cambria" w:hAnsi="Cambria"/>
              </w:rPr>
            </w:pPr>
            <w:r w:rsidDel="00000000" w:rsidR="00000000" w:rsidRPr="00000000">
              <w:rPr>
                <w:rFonts w:ascii="Cambria" w:cs="Cambria" w:eastAsia="Cambria" w:hAnsi="Cambria"/>
                <w:rtl w:val="0"/>
              </w:rPr>
              <w:t xml:space="preserve">Promote GARI’s principles on combining new technology and the social sciences to address Europe’s greatest challenges and questions</w:t>
            </w:r>
          </w:p>
          <w:p w:rsidR="00000000" w:rsidDel="00000000" w:rsidP="00000000" w:rsidRDefault="00000000" w:rsidRPr="00000000" w14:paraId="0000004F">
            <w:pPr>
              <w:numPr>
                <w:ilvl w:val="0"/>
                <w:numId w:val="1"/>
              </w:numPr>
              <w:spacing w:before="200"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Promote The Next 100 project and it’s events</w:t>
            </w:r>
          </w:p>
          <w:p w:rsidR="00000000" w:rsidDel="00000000" w:rsidP="00000000" w:rsidRDefault="00000000" w:rsidRPr="00000000" w14:paraId="00000050">
            <w:pPr>
              <w:spacing w:before="200"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Monetary benefits:</w:t>
            </w:r>
          </w:p>
          <w:p w:rsidR="00000000" w:rsidDel="00000000" w:rsidP="00000000" w:rsidRDefault="00000000" w:rsidRPr="00000000" w14:paraId="00000051">
            <w:pPr>
              <w:numPr>
                <w:ilvl w:val="0"/>
                <w:numId w:val="2"/>
              </w:numPr>
              <w:spacing w:before="0" w:line="276" w:lineRule="auto"/>
              <w:ind w:left="720" w:hanging="360"/>
              <w:contextualSpacing w:val="0"/>
              <w:rPr>
                <w:rFonts w:ascii="Cambria" w:cs="Cambria" w:eastAsia="Cambria" w:hAnsi="Cambria"/>
              </w:rPr>
            </w:pPr>
            <w:r w:rsidDel="00000000" w:rsidR="00000000" w:rsidRPr="00000000">
              <w:rPr>
                <w:rFonts w:ascii="Cambria" w:cs="Cambria" w:eastAsia="Cambria" w:hAnsi="Cambria"/>
                <w:rtl w:val="0"/>
              </w:rPr>
              <w:t xml:space="preserve">Travel and accommodation to attend The Next 100 Symposium in Prague</w:t>
            </w:r>
          </w:p>
          <w:p w:rsidR="00000000" w:rsidDel="00000000" w:rsidP="00000000" w:rsidRDefault="00000000" w:rsidRPr="00000000" w14:paraId="00000052">
            <w:pPr>
              <w:numPr>
                <w:ilvl w:val="0"/>
                <w:numId w:val="2"/>
              </w:numPr>
              <w:spacing w:before="200"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Your co-hosting session costs - speaker’s travel and accommodation and the logistics of the session</w:t>
            </w:r>
          </w:p>
          <w:p w:rsidR="00000000" w:rsidDel="00000000" w:rsidP="00000000" w:rsidRDefault="00000000" w:rsidRPr="00000000" w14:paraId="00000053">
            <w:pPr>
              <w:numPr>
                <w:ilvl w:val="0"/>
                <w:numId w:val="2"/>
              </w:numPr>
              <w:spacing w:before="200"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Budget of between €1,000 and €5,000 for event under N100 partner events</w:t>
            </w:r>
          </w:p>
          <w:p w:rsidR="00000000" w:rsidDel="00000000" w:rsidP="00000000" w:rsidRDefault="00000000" w:rsidRPr="00000000" w14:paraId="00000054">
            <w:pPr>
              <w:spacing w:before="200"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Non-monetary benefits:</w:t>
            </w:r>
          </w:p>
          <w:p w:rsidR="00000000" w:rsidDel="00000000" w:rsidP="00000000" w:rsidRDefault="00000000" w:rsidRPr="00000000" w14:paraId="00000055">
            <w:pPr>
              <w:numPr>
                <w:ilvl w:val="0"/>
                <w:numId w:val="4"/>
              </w:numPr>
              <w:spacing w:before="0" w:line="276" w:lineRule="auto"/>
              <w:ind w:left="720" w:hanging="360"/>
              <w:contextualSpacing w:val="0"/>
              <w:rPr>
                <w:rFonts w:ascii="Cambria" w:cs="Cambria" w:eastAsia="Cambria" w:hAnsi="Cambria"/>
              </w:rPr>
            </w:pPr>
            <w:r w:rsidDel="00000000" w:rsidR="00000000" w:rsidRPr="00000000">
              <w:rPr>
                <w:rFonts w:ascii="Cambria" w:cs="Cambria" w:eastAsia="Cambria" w:hAnsi="Cambria"/>
                <w:rtl w:val="0"/>
              </w:rPr>
              <w:t xml:space="preserve">Attendance and participation at GARI’s Next 100 events and projects</w:t>
            </w:r>
          </w:p>
          <w:p w:rsidR="00000000" w:rsidDel="00000000" w:rsidP="00000000" w:rsidRDefault="00000000" w:rsidRPr="00000000" w14:paraId="00000056">
            <w:pPr>
              <w:numPr>
                <w:ilvl w:val="0"/>
                <w:numId w:val="4"/>
              </w:numPr>
              <w:spacing w:before="200"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Promotion of your initiatives in line with GARI’s goals and objectives</w:t>
            </w:r>
          </w:p>
          <w:p w:rsidR="00000000" w:rsidDel="00000000" w:rsidP="00000000" w:rsidRDefault="00000000" w:rsidRPr="00000000" w14:paraId="00000057">
            <w:pPr>
              <w:numPr>
                <w:ilvl w:val="0"/>
                <w:numId w:val="4"/>
              </w:numPr>
              <w:spacing w:before="200"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Exposure of your organisation and projects at the N100 events and in material</w:t>
            </w:r>
          </w:p>
          <w:p w:rsidR="00000000" w:rsidDel="00000000" w:rsidP="00000000" w:rsidRDefault="00000000" w:rsidRPr="00000000" w14:paraId="00000058">
            <w:pPr>
              <w:numPr>
                <w:ilvl w:val="0"/>
                <w:numId w:val="4"/>
              </w:numPr>
              <w:spacing w:before="200" w:line="276"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Connection to the corporate and economic partners and cross-fertilisation of efforts and potential additional projects</w:t>
            </w:r>
            <w:r w:rsidDel="00000000" w:rsidR="00000000" w:rsidRPr="00000000">
              <w:rPr>
                <w:rtl w:val="0"/>
              </w:rPr>
            </w:r>
          </w:p>
          <w:p w:rsidR="00000000" w:rsidDel="00000000" w:rsidP="00000000" w:rsidRDefault="00000000" w:rsidRPr="00000000" w14:paraId="00000059">
            <w:pPr>
              <w:contextualSpacing w:val="0"/>
              <w:rPr>
                <w:rFonts w:ascii="Cambria" w:cs="Cambria" w:eastAsia="Cambria" w:hAnsi="Cambria"/>
              </w:rPr>
            </w:pPr>
            <w:r w:rsidDel="00000000" w:rsidR="00000000" w:rsidRPr="00000000">
              <w:rPr>
                <w:rtl w:val="0"/>
              </w:rPr>
            </w:r>
          </w:p>
        </w:tc>
      </w:tr>
    </w:tbl>
    <w:p w:rsidR="00000000" w:rsidDel="00000000" w:rsidP="00000000" w:rsidRDefault="00000000" w:rsidRPr="00000000" w14:paraId="0000005A">
      <w:pPr>
        <w:contextualSpacing w:val="0"/>
        <w:rPr>
          <w:rFonts w:ascii="Cambria" w:cs="Cambria" w:eastAsia="Cambria" w:hAnsi="Cambria"/>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7"/>
      <w:numFmt w:val="bullet"/>
      <w:lvlText w:val="-"/>
      <w:lvlJc w:val="left"/>
      <w:pPr>
        <w:ind w:left="720" w:hanging="360"/>
      </w:pPr>
      <w:rPr>
        <w:rFonts w:ascii="Times New Roman" w:cs="Times New Roman" w:eastAsia="Times New Roman" w:hAnsi="Times New Roman"/>
        <w:b w:val="1"/>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fr-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