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17FB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119DE63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SANA 2019: Kodanikuühiskonna võrgustik põlisrahvaste keelte säilimiseks ja taaselustamiseks </w:t>
      </w:r>
    </w:p>
    <w:p w14:paraId="78754C82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705218B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Väiketoetuste konkursi reeglid </w:t>
      </w:r>
    </w:p>
    <w:p w14:paraId="2AE4B753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359BF3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Projekt "SANA 2019: Kodanikuühiskonna võrgustik põlisrahvaste keelte säilimiseks ja taaselustamiseks"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kuulutab välja konkursi väiketoetustele. Konkurs toimub rahvusvahelise põlisrahvaste keelte aasta 2019 raames. </w:t>
      </w:r>
    </w:p>
    <w:p w14:paraId="4509BFE7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213E4B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Konkursi eesmärk: </w:t>
      </w:r>
      <w:r>
        <w:rPr>
          <w:rFonts w:ascii="Calibri" w:eastAsia="Calibri" w:hAnsi="Calibri" w:cs="Calibri"/>
          <w:color w:val="000000"/>
          <w:sz w:val="20"/>
          <w:szCs w:val="20"/>
        </w:rPr>
        <w:t>konkurss viiakse läbi eesmärgiga toetada uusi ja mittestandardseid kohaliku tasandi algatusi soome-ugri põlisrahvaste keelte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arendamiseks ja kasutuseks Läänemere piirkonnas. </w:t>
      </w:r>
    </w:p>
    <w:p w14:paraId="703A64F2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B3F8CA8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Nõuded taotlejale</w:t>
      </w:r>
    </w:p>
    <w:p w14:paraId="2003BC8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Taotlejateks võivad olla mittetulundusühingud, algatusrühmad (seltsingud) ja eraisikud järgnevatest riikidest: Eesti, Vene Föderatsioon (Karjala Vabariik, Leningradi oblast, Pihkva oblas</w:t>
      </w:r>
      <w:r>
        <w:rPr>
          <w:rFonts w:ascii="Calibri" w:eastAsia="Calibri" w:hAnsi="Calibri" w:cs="Calibri"/>
          <w:color w:val="000000"/>
          <w:sz w:val="20"/>
          <w:szCs w:val="20"/>
        </w:rPr>
        <w:t>t, Murmanski oblast, Komi Vabariik), Soome, Rootsi, Norra ja Läti.</w:t>
      </w:r>
    </w:p>
    <w:p w14:paraId="4A6398E6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9ED88F1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Milliseid algatusi toetatakse? </w:t>
      </w:r>
    </w:p>
    <w:p w14:paraId="58AB7A23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Suunatud soome-ugri põlisrahvaste keelte arendamisele nende rahvaste traditsioonilistel asualadel </w:t>
      </w:r>
    </w:p>
    <w:p w14:paraId="457982D5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Uued ja iseseisvad algatused</w:t>
      </w:r>
    </w:p>
    <w:p w14:paraId="619CF15B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Valdkonnaülesed algatused, st mis loovad seoseid keelte ja teiste valdkondadega (nt käsitöö, traditsioonilised elatusviisid, disain, traditsioonilised teadmised, loodus, kunst jne)</w:t>
      </w:r>
    </w:p>
    <w:p w14:paraId="5CE410F0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Wlluviimisel kasutatakse soome-ugri põlisrahvaste keeli </w:t>
      </w:r>
    </w:p>
    <w:p w14:paraId="346AC212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Toetavad kohaliku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tasandi keeleaktivistide tegevust </w:t>
      </w:r>
    </w:p>
    <w:p w14:paraId="7EA4022E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Soodustavad soome-ugri põlisrahvaste keelte kasutust Internetis</w:t>
      </w:r>
    </w:p>
    <w:p w14:paraId="74F49026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Toetavad rahvusvahelise põlisrahvaste keelte aasta eesmärke </w:t>
      </w:r>
    </w:p>
    <w:p w14:paraId="654B024E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Toetavad rahvusvahelist ja piirkondadevahelist koostööd soome-ugri põlisrahvaste keelte arendami</w:t>
      </w:r>
      <w:r>
        <w:rPr>
          <w:rFonts w:ascii="Calibri" w:eastAsia="Calibri" w:hAnsi="Calibri" w:cs="Calibri"/>
          <w:color w:val="000000"/>
          <w:sz w:val="20"/>
          <w:szCs w:val="20"/>
        </w:rPr>
        <w:t>sel</w:t>
      </w:r>
    </w:p>
    <w:p w14:paraId="09A457F6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Uuenduslikud ideed, mida on võimalik jagada teiste rahvastega kui häid näiteid kodanikuühiskonna poolt juhitud keeleaktivismist  </w:t>
      </w:r>
    </w:p>
    <w:p w14:paraId="00CF21E2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5538058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Milliseid algatusi ei toetata? </w:t>
      </w:r>
    </w:p>
    <w:p w14:paraId="0F6F6E04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Suunatud taotleja alaliste ja/või regulaarsete tegevuste toetamiseks</w:t>
      </w:r>
    </w:p>
    <w:p w14:paraId="40DC375A" w14:textId="77777777" w:rsidR="00DA23D5" w:rsidRDefault="00455D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Olemasolevad projekt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id või üritused, mis on juba saanud rahastuse teistest allikatest </w:t>
      </w:r>
    </w:p>
    <w:p w14:paraId="5B445A1D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841E798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Konkursi ajakava ja aruandluse tähtajad </w:t>
      </w:r>
    </w:p>
    <w:p w14:paraId="435EA2FC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09F858D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Taotluste vastuvõtmine: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10. september – 10. november, 2018 </w:t>
      </w:r>
    </w:p>
    <w:p w14:paraId="22D32A3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Taotluste hindamine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11.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november  –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15. detsember, 2018 </w:t>
      </w:r>
    </w:p>
    <w:p w14:paraId="1A068DF1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Tulemuste teavitamine: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16. detsember, 2018 </w:t>
      </w:r>
    </w:p>
    <w:p w14:paraId="08801EDC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Lepingute sõlmimine toetuste saajatega: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16-30. detsember, 2018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362C9C43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Algatuste elluviimine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16. detsember, 2018 – 15. märts, 2019 </w:t>
      </w:r>
    </w:p>
    <w:p w14:paraId="687394F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Vahearuande esitamine: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15. veebruar, 2019 </w:t>
      </w:r>
    </w:p>
    <w:p w14:paraId="3526FE1B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Lõpparuande esitamine (sisuaruanne):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15. märts, 2019 </w:t>
      </w:r>
    </w:p>
    <w:p w14:paraId="33EF2FFF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Lõpparuande esitamine (finantsaruanne):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1. aprill, 2019 </w:t>
      </w:r>
    </w:p>
    <w:p w14:paraId="7A110979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AA55DDD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Väiketoetuste mahud </w:t>
      </w:r>
    </w:p>
    <w:p w14:paraId="350EF1AE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Väiketoetuste fondi kogumaht on 10 000 eurot. </w:t>
      </w:r>
    </w:p>
    <w:p w14:paraId="195A669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Minimaalne toetuse summa: 200 eurot</w:t>
      </w:r>
    </w:p>
    <w:p w14:paraId="3C1DB805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Maksimaalne toetuse summa: 2000 eurot. </w:t>
      </w:r>
    </w:p>
    <w:p w14:paraId="5B296E8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Ühistaotluste puhul (võrgustike poolt) võib maksimaal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seks toetuseks olla 5000 eurot. </w:t>
      </w:r>
    </w:p>
    <w:p w14:paraId="5F815122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F12725E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Taotluse esitamine </w:t>
      </w:r>
    </w:p>
    <w:p w14:paraId="01BA8B5F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Palume taotluse esitada veebipõhiselt aadressil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https://docs.google.com/forms/d/e/1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FAIpQLSdObqN-UyEfUI6fTb-BI41P8PaYRK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jy-25Ftpi6lxUDtfOcQ/viewform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või täites MS Word'i põhise ankeedi, mis on allalaetav siit: </w:t>
      </w:r>
      <w:hyperlink r:id="rId8" w:history="1">
        <w:r w:rsidR="00DE5371" w:rsidRPr="00DE75C9">
          <w:rPr>
            <w:rStyle w:val="Hyperlink"/>
            <w:rFonts w:ascii="Calibri" w:eastAsia="Calibri" w:hAnsi="Calibri" w:cs="Calibri"/>
            <w:sz w:val="20"/>
            <w:szCs w:val="20"/>
          </w:rPr>
          <w:t>http://uralic.org/projektid/sana-2019</w:t>
        </w:r>
      </w:hyperlink>
      <w:r w:rsidR="00DE537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Word'i ankeedi palume saata e-postiga aadressile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network.sana2019@gmail.com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. Tehniliste küsimuste või probleemide korral palume kirjutada samale aadressile.  </w:t>
      </w:r>
    </w:p>
    <w:p w14:paraId="6C815B81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9A05336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Valikuprotseduur </w:t>
      </w:r>
    </w:p>
    <w:p w14:paraId="56A50606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Väiketoetuste jagamiseks moodustatakse žürii, mis koosneb projekti "SANA 2019: Kodanikuühiskonna võrgustik põlisrahvaste keelte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säilimiseks ja taaselustamiseks" partneritest: </w:t>
      </w:r>
    </w:p>
    <w:p w14:paraId="13E4F1FE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Etnokultuuriliste keskuste ja pärandikaitse organisatsioonide assotsiatsioon «EHHO» (Karjala Vabariik, Venemaa) </w:t>
      </w:r>
    </w:p>
    <w:p w14:paraId="512460A2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Põlisrahvaste toetuse ja rahvadiplomaatia keskus «Nuori Karjala» (Karjala Vabariik, Venemaa) </w:t>
      </w:r>
    </w:p>
    <w:p w14:paraId="7B9C0C00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Karjala Keele Kodu (Karjala Vabariik, Venemaa) </w:t>
      </w:r>
    </w:p>
    <w:p w14:paraId="2C856472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Isuri rahva ühendus «Šoikula» (Leningradi oblast, Venemaa) </w:t>
      </w:r>
    </w:p>
    <w:p w14:paraId="146B3A6A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MTÜ Põlisrahvaste Arengu Keskus (Eeesti) </w:t>
      </w:r>
    </w:p>
    <w:p w14:paraId="70ACB58B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SA Seto Kultuuri Fond (Eesti) </w:t>
      </w:r>
    </w:p>
    <w:p w14:paraId="2CBD88D0" w14:textId="77777777" w:rsidR="00DA23D5" w:rsidRDefault="00455D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Giellabalggis ry (Soome) </w:t>
      </w:r>
    </w:p>
    <w:p w14:paraId="7E365C04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674F81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Informatsioon väiketoetuste saajatele </w:t>
      </w:r>
    </w:p>
    <w:p w14:paraId="505E8743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Enne toet</w:t>
      </w:r>
      <w:r>
        <w:rPr>
          <w:rFonts w:ascii="Calibri" w:eastAsia="Calibri" w:hAnsi="Calibri" w:cs="Calibri"/>
          <w:color w:val="000000"/>
          <w:sz w:val="20"/>
          <w:szCs w:val="20"/>
        </w:rPr>
        <w:t>use kasutuse lepingute sõlmimist esitavad konkursi võitjad järgnevad dokumendid Assotsiatsioonile «EHHO»</w:t>
      </w:r>
    </w:p>
    <w:p w14:paraId="5577E74F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Juriidilised isikud: põhikiri, registreerimist tõendavad dokumendid, pangarekvisiidid</w:t>
      </w:r>
    </w:p>
    <w:p w14:paraId="73F1B6F6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- Eraisikud: passikoopia, pangarekvisiidid</w:t>
      </w:r>
    </w:p>
    <w:p w14:paraId="1B04DF7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Algatusrühmad (seltsingud) – seltsingu asutamist tõendav dokument (vabas vormis), koordinaatori kontaktinfo saranaselt eraisikust taotlejatega </w:t>
      </w:r>
    </w:p>
    <w:p w14:paraId="24FDF236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D41BF8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Toetuse saajad esitavad sisulised ja finantsaruanded toetava dokumentatsiooniga ettenähtud tähtaegades (vt.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Konkursi ajakava ja aruandluse tähtajad</w:t>
      </w:r>
      <w:r w:rsidR="00DE5371">
        <w:rPr>
          <w:rFonts w:ascii="Calibri" w:eastAsia="Calibri" w:hAnsi="Calibri" w:cs="Calibri"/>
          <w:color w:val="000000"/>
          <w:sz w:val="20"/>
          <w:szCs w:val="20"/>
        </w:rPr>
        <w:t>)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. Aruanded esitatakse elektrooniliselt vajalike manustega, sh foto- ja videomaterjaliga. </w:t>
      </w:r>
    </w:p>
    <w:p w14:paraId="1E5CB96B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641F385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Võitjad osalevad projekti"SANA 2019: Kodanikuühiskonna võrgustik põlisrahvaste keelte säilimiseks ja taaselustamiseks" lõppü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ritusel Petrozavodkskis (18-19. aprill, 2019) Karjala Vabariigis. </w:t>
      </w:r>
    </w:p>
    <w:p w14:paraId="0B281142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B2ABF96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Projekti partnerid määravad endi seast igale toetuse saajale konsultandi toetamaks algatuse läbiviimist. Konsultandil on õigus osaleda toetatava algatuse üritustel. </w:t>
      </w:r>
    </w:p>
    <w:p w14:paraId="52049038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41D8D10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Toetuste abil valminu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tulemused ja materjalid peavad olema kättesaadavad edasiseks teavitamiseks. Toetatud algatused võivad olla kaasatud interaktiivsesse trükisesse soome-ugri keeleaktivismi headest praktikatest. </w:t>
      </w:r>
    </w:p>
    <w:p w14:paraId="4CB954AF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CF2AE6A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Konkursi võitjad võimaldavad Assotsiatsioonil «EHHO» ja teis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tel projekti SANA 2019 partneritel, aga ka Põhjamaade Ministrite Nõukogul, kasutada toetuste kaudu valminud materjale jt tulemusi. </w:t>
      </w:r>
    </w:p>
    <w:p w14:paraId="051A077B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29DAD9C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Toetuste saajad võivad olla kutsutud koolitusseminarile Inaris (Soomes), mis toimub 21-23.01.2019. </w:t>
      </w:r>
    </w:p>
    <w:p w14:paraId="061A0ECB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0B64269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Projekti kokkuvõte</w:t>
      </w:r>
    </w:p>
    <w:p w14:paraId="5B1E869E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D1F3863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>Pr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 xml:space="preserve">ojekt "SANA 2019: kodanikuühiskonna võrgustik põlisrahvaste keelte </w:t>
      </w:r>
      <w:r w:rsidR="00DE5371">
        <w:rPr>
          <w:rFonts w:ascii="Calibri" w:eastAsia="Calibri" w:hAnsi="Calibri" w:cs="Calibri"/>
          <w:color w:val="5E5E5E"/>
          <w:sz w:val="20"/>
          <w:szCs w:val="20"/>
          <w:highlight w:val="white"/>
        </w:rPr>
        <w:t>toetuseks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 xml:space="preserve">" ühendab </w:t>
      </w:r>
      <w:r w:rsidR="00DE5371">
        <w:rPr>
          <w:rFonts w:ascii="Calibri" w:eastAsia="Calibri" w:hAnsi="Calibri" w:cs="Calibri"/>
          <w:color w:val="5E5E5E"/>
          <w:sz w:val="20"/>
          <w:szCs w:val="20"/>
          <w:highlight w:val="white"/>
        </w:rPr>
        <w:t>soome-ugri põlisrahvaste keelte säilimise ja taaselustamisega tegelevaid organisatsioone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 xml:space="preserve"> Läänemere piirkonnas. Projekti elluviimine kattub ajaliselt ÜRO rahv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>usvahelise põlisrahvaste keelte aastaga 2019, millele projekt annab omapoolse sisulise panuse. SANA 2019 ühendab järgnevat seitset partnerorganisatsiooni: Assotsiatsioon "EHHO" (juhtpartner), põlisrahvaste toetuse ja rahvadiplomaatia keskus "Nuori Karjala"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>, Karjala Keele Kodu (Karjala Vabariik); isurite ühendus Šoikula (Leningradi oblast), MTÜ Põlisra</w:t>
      </w:r>
      <w:r w:rsidR="00DE5371">
        <w:rPr>
          <w:rFonts w:ascii="Calibri" w:eastAsia="Calibri" w:hAnsi="Calibri" w:cs="Calibri"/>
          <w:color w:val="5E5E5E"/>
          <w:sz w:val="20"/>
          <w:szCs w:val="20"/>
          <w:highlight w:val="white"/>
        </w:rPr>
        <w:t>hvaste Arengu Keskus ("URALIC")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>, Seto Kultuuri Fond (Eesti) ja soome saamide organisatsioon Giellabalggis ry. Projekti rahastab Põhjamaade Ministrite Nõukogu.</w:t>
      </w:r>
      <w:r>
        <w:rPr>
          <w:rFonts w:ascii="Calibri" w:eastAsia="Calibri" w:hAnsi="Calibri" w:cs="Calibri"/>
          <w:color w:val="5E5E5E"/>
          <w:sz w:val="20"/>
          <w:szCs w:val="20"/>
          <w:highlight w:val="white"/>
        </w:rPr>
        <w:t> </w:t>
      </w:r>
    </w:p>
    <w:p w14:paraId="71C2F166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EB3C22D" w14:textId="77777777" w:rsidR="00DA23D5" w:rsidRDefault="00DA2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12D1662" w14:textId="77777777" w:rsidR="00DA23D5" w:rsidRDefault="00455D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sectPr w:rsidR="00DA23D5">
      <w:headerReference w:type="default" r:id="rId10"/>
      <w:footerReference w:type="default" r:id="rId11"/>
      <w:pgSz w:w="11900" w:h="16840"/>
      <w:pgMar w:top="1440" w:right="701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FC188" w14:textId="77777777" w:rsidR="00455DA5" w:rsidRDefault="00455DA5">
      <w:r>
        <w:separator/>
      </w:r>
    </w:p>
  </w:endnote>
  <w:endnote w:type="continuationSeparator" w:id="0">
    <w:p w14:paraId="2516D3CC" w14:textId="77777777" w:rsidR="00455DA5" w:rsidRDefault="0045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3F6C" w14:textId="77777777" w:rsidR="00DA23D5" w:rsidRDefault="00455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               </w:t>
    </w:r>
  </w:p>
  <w:tbl>
    <w:tblPr>
      <w:tblStyle w:val="a0"/>
      <w:tblW w:w="918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02"/>
      <w:gridCol w:w="1429"/>
      <w:gridCol w:w="1273"/>
      <w:gridCol w:w="3679"/>
    </w:tblGrid>
    <w:tr w:rsidR="00DA23D5" w14:paraId="238B8FF1" w14:textId="77777777">
      <w:tc>
        <w:tcPr>
          <w:tcW w:w="2802" w:type="dxa"/>
        </w:tcPr>
        <w:p w14:paraId="05A3FB70" w14:textId="77777777" w:rsidR="00DA23D5" w:rsidRDefault="00455DA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i/>
              <w:color w:val="000000"/>
              <w:sz w:val="12"/>
              <w:szCs w:val="12"/>
            </w:rPr>
          </w:pPr>
          <w:r>
            <w:rPr>
              <w:b/>
              <w:i/>
              <w:noProof/>
              <w:color w:val="000000"/>
              <w:sz w:val="12"/>
              <w:szCs w:val="12"/>
              <w:lang w:val="en-GB"/>
            </w:rPr>
            <w:drawing>
              <wp:inline distT="0" distB="0" distL="0" distR="0" wp14:anchorId="55C0FE9B" wp14:editId="67F45829">
                <wp:extent cx="489229" cy="489229"/>
                <wp:effectExtent l="0" t="0" r="0" b="0"/>
                <wp:docPr id="3" name="image7.jpg" descr="7-2ghsFHel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7-2ghsFHel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229" cy="48922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EF1AC0F" w14:textId="77777777" w:rsidR="00DA23D5" w:rsidRDefault="00455DA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00"/>
              <w:sz w:val="12"/>
              <w:szCs w:val="12"/>
            </w:rPr>
            <w:t>Ассоциация этнокультурных центров и организаций по сохранению наследия «ЭХО»</w:t>
          </w:r>
          <w:r>
            <w:rPr>
              <w:color w:val="000000"/>
              <w:sz w:val="22"/>
              <w:szCs w:val="22"/>
            </w:rPr>
            <w:t xml:space="preserve"> </w:t>
          </w:r>
        </w:p>
      </w:tc>
      <w:tc>
        <w:tcPr>
          <w:tcW w:w="1429" w:type="dxa"/>
        </w:tcPr>
        <w:p w14:paraId="1862BA61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6"/>
              <w:szCs w:val="16"/>
            </w:rPr>
          </w:pPr>
        </w:p>
        <w:p w14:paraId="1E94E9B1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6"/>
              <w:szCs w:val="16"/>
            </w:rPr>
          </w:pPr>
        </w:p>
        <w:p w14:paraId="51D5E598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i/>
              <w:color w:val="000000"/>
              <w:sz w:val="12"/>
              <w:szCs w:val="12"/>
            </w:rPr>
          </w:pPr>
        </w:p>
      </w:tc>
      <w:tc>
        <w:tcPr>
          <w:tcW w:w="1273" w:type="dxa"/>
        </w:tcPr>
        <w:p w14:paraId="15D5DE33" w14:textId="77777777" w:rsidR="00DA23D5" w:rsidRDefault="00455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23E708F1" wp14:editId="714EDC8A">
                <wp:extent cx="394987" cy="394987"/>
                <wp:effectExtent l="0" t="0" r="0" b="0"/>
                <wp:docPr id="2" name="image6.png" descr="C:\Users\Хозяин\Downloads\image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C:\Users\Хозяин\Downloads\image0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87" cy="3949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</w:tcPr>
        <w:p w14:paraId="48BA062C" w14:textId="77777777" w:rsidR="00DA23D5" w:rsidRDefault="00455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64" w:firstLine="284"/>
            <w:rPr>
              <w:color w:val="000000"/>
            </w:rPr>
          </w:pPr>
          <w:r>
            <w:rPr>
              <w:b/>
              <w:i/>
              <w:color w:val="000000"/>
              <w:sz w:val="16"/>
              <w:szCs w:val="16"/>
            </w:rPr>
            <w:t xml:space="preserve">                          </w:t>
          </w:r>
          <w:r>
            <w:rPr>
              <w:b/>
              <w:i/>
              <w:noProof/>
              <w:color w:val="000000"/>
              <w:sz w:val="16"/>
              <w:szCs w:val="16"/>
              <w:lang w:val="en-GB"/>
            </w:rPr>
            <w:drawing>
              <wp:inline distT="0" distB="0" distL="0" distR="0" wp14:anchorId="796F95E9" wp14:editId="48D70E8B">
                <wp:extent cx="1131180" cy="592919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80" cy="5929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1DCEBE" w14:textId="77777777" w:rsidR="00DA23D5" w:rsidRDefault="00DA23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1D01" w14:textId="77777777" w:rsidR="00455DA5" w:rsidRDefault="00455DA5">
      <w:r>
        <w:separator/>
      </w:r>
    </w:p>
  </w:footnote>
  <w:footnote w:type="continuationSeparator" w:id="0">
    <w:p w14:paraId="02377C86" w14:textId="77777777" w:rsidR="00455DA5" w:rsidRDefault="00455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8E5C" w14:textId="77777777" w:rsidR="00DA23D5" w:rsidRDefault="00DA23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"/>
      <w:tblW w:w="895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26"/>
      <w:gridCol w:w="3686"/>
      <w:gridCol w:w="2742"/>
    </w:tblGrid>
    <w:tr w:rsidR="00DA23D5" w14:paraId="66B22341" w14:textId="77777777">
      <w:trPr>
        <w:trHeight w:val="1700"/>
        <w:jc w:val="center"/>
      </w:trPr>
      <w:tc>
        <w:tcPr>
          <w:tcW w:w="2526" w:type="dxa"/>
          <w:vAlign w:val="center"/>
        </w:tcPr>
        <w:p w14:paraId="295F3AB0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3686" w:type="dxa"/>
          <w:vAlign w:val="center"/>
        </w:tcPr>
        <w:p w14:paraId="455B2E8E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  <w:p w14:paraId="5615D567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2742" w:type="dxa"/>
          <w:vAlign w:val="center"/>
        </w:tcPr>
        <w:p w14:paraId="1EA8A5C3" w14:textId="77777777" w:rsidR="00DA23D5" w:rsidRDefault="00DA2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  <w:p w14:paraId="46EBFF68" w14:textId="77777777" w:rsidR="00DA23D5" w:rsidRDefault="00455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  <w:lang w:val="en-GB"/>
            </w:rPr>
            <w:drawing>
              <wp:inline distT="0" distB="0" distL="0" distR="0" wp14:anchorId="014D54BD" wp14:editId="0EB8772F">
                <wp:extent cx="1003849" cy="1088593"/>
                <wp:effectExtent l="0" t="0" r="0" b="0"/>
                <wp:docPr id="1" name="image3.png" descr=":::::::::Desktop: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:::::::::Desktop: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49" cy="1088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AFF52B9" w14:textId="77777777" w:rsidR="00DA23D5" w:rsidRDefault="00DA23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0156272" w14:textId="77777777" w:rsidR="00DA23D5" w:rsidRDefault="00DA23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642"/>
    <w:multiLevelType w:val="multilevel"/>
    <w:tmpl w:val="C502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5E0B"/>
    <w:multiLevelType w:val="multilevel"/>
    <w:tmpl w:val="407426A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3D5"/>
    <w:rsid w:val="00455DA5"/>
    <w:rsid w:val="00DA23D5"/>
    <w:rsid w:val="00D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CD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forms/d/e/1FAIpQLSdObqN-UyEfUI6fTb-BI41P8PaYRKSjy-25Ftpi6lxUDtfOcQ/viewform" TargetMode="External"/><Relationship Id="rId8" Type="http://schemas.openxmlformats.org/officeDocument/2006/relationships/hyperlink" Target="http://uralic.org/projektid/sana-2019" TargetMode="External"/><Relationship Id="rId9" Type="http://schemas.openxmlformats.org/officeDocument/2006/relationships/hyperlink" Target="mailto:network.sana2019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5211</Characters>
  <Application>Microsoft Macintosh Word</Application>
  <DocSecurity>0</DocSecurity>
  <Lines>43</Lines>
  <Paragraphs>12</Paragraphs>
  <ScaleCrop>false</ScaleCrop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loode</cp:lastModifiedBy>
  <cp:revision>2</cp:revision>
  <dcterms:created xsi:type="dcterms:W3CDTF">2018-09-12T10:44:00Z</dcterms:created>
  <dcterms:modified xsi:type="dcterms:W3CDTF">2018-09-12T10:44:00Z</dcterms:modified>
</cp:coreProperties>
</file>