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9F" w:rsidRDefault="00971E9F" w:rsidP="00153131">
      <w:pPr>
        <w:shd w:val="clear" w:color="auto" w:fill="FFFFFF"/>
        <w:spacing w:after="150" w:line="240" w:lineRule="auto"/>
        <w:rPr>
          <w:rFonts w:ascii="Arial" w:eastAsia="Times New Roman" w:hAnsi="Arial" w:cs="Arial"/>
          <w:b/>
          <w:bCs/>
          <w:color w:val="6F6F6F"/>
          <w:sz w:val="20"/>
          <w:szCs w:val="20"/>
          <w:lang w:eastAsia="et-EE"/>
        </w:rPr>
      </w:pPr>
      <w:r>
        <w:rPr>
          <w:rFonts w:ascii="Arial" w:eastAsia="Times New Roman" w:hAnsi="Arial" w:cs="Arial"/>
          <w:b/>
          <w:bCs/>
          <w:color w:val="6F6F6F"/>
          <w:sz w:val="20"/>
          <w:szCs w:val="20"/>
          <w:lang w:eastAsia="et-EE"/>
        </w:rPr>
        <w:t>ANDMEKAITSE</w:t>
      </w:r>
    </w:p>
    <w:p w:rsidR="00971E9F" w:rsidRDefault="00971E9F" w:rsidP="00153131">
      <w:pPr>
        <w:shd w:val="clear" w:color="auto" w:fill="FFFFFF"/>
        <w:spacing w:after="150" w:line="240" w:lineRule="auto"/>
        <w:rPr>
          <w:rFonts w:ascii="Arial" w:eastAsia="Times New Roman" w:hAnsi="Arial" w:cs="Arial"/>
          <w:b/>
          <w:bCs/>
          <w:color w:val="6F6F6F"/>
          <w:sz w:val="20"/>
          <w:szCs w:val="20"/>
          <w:lang w:eastAsia="et-EE"/>
        </w:rPr>
      </w:pP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Pr>
          <w:rFonts w:ascii="Arial" w:eastAsia="Times New Roman" w:hAnsi="Arial" w:cs="Arial"/>
          <w:b/>
          <w:bCs/>
          <w:color w:val="6F6F6F"/>
          <w:sz w:val="20"/>
          <w:szCs w:val="20"/>
          <w:lang w:eastAsia="et-EE"/>
        </w:rPr>
        <w:t>Rõngu Lasteaed Pihlakobar</w:t>
      </w:r>
      <w:r w:rsidRPr="005D7901">
        <w:rPr>
          <w:rFonts w:ascii="Arial" w:eastAsia="Times New Roman" w:hAnsi="Arial" w:cs="Arial"/>
          <w:b/>
          <w:bCs/>
          <w:color w:val="6F6F6F"/>
          <w:sz w:val="20"/>
          <w:szCs w:val="20"/>
          <w:lang w:eastAsia="et-EE"/>
        </w:rPr>
        <w:t xml:space="preserve"> andmekaitsespetsialist</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Kaisa-Karoliina Kokk</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hyperlink r:id="rId4" w:history="1">
        <w:r w:rsidRPr="005D7901">
          <w:rPr>
            <w:rFonts w:ascii="Arial" w:eastAsia="Times New Roman" w:hAnsi="Arial" w:cs="Arial"/>
            <w:color w:val="2BB673"/>
            <w:sz w:val="20"/>
            <w:szCs w:val="20"/>
            <w:lang w:eastAsia="et-EE"/>
          </w:rPr>
          <w:t>kaisa.kokk@elva.ee</w:t>
        </w:r>
      </w:hyperlink>
      <w:r w:rsidRPr="005D7901">
        <w:rPr>
          <w:rFonts w:ascii="Arial" w:eastAsia="Times New Roman" w:hAnsi="Arial" w:cs="Arial"/>
          <w:color w:val="6F6F6F"/>
          <w:sz w:val="20"/>
          <w:szCs w:val="20"/>
          <w:lang w:eastAsia="et-EE"/>
        </w:rPr>
        <w:t>; telefon +372 7309893</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1"/>
          <w:szCs w:val="21"/>
          <w:lang w:eastAsia="et-EE"/>
        </w:rPr>
        <w:t> </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Andmekaitsespetsialisti poole võib inimene pöörduda kõigis küsimustes,</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mis on seotud selles asutuses või ettevõttes tema isikuandmete töötlemisega.</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Andmekaitsespetsialist esindab isikuandmete töötlejat suheldes Andmekaitse Inspektsiooniga.</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1"/>
          <w:szCs w:val="21"/>
          <w:lang w:eastAsia="et-EE"/>
        </w:rPr>
        <w:t> </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153131">
        <w:rPr>
          <w:rFonts w:ascii="Arial" w:eastAsia="Times New Roman" w:hAnsi="Arial" w:cs="Arial"/>
          <w:b/>
          <w:bCs/>
          <w:color w:val="6F6F6F"/>
          <w:sz w:val="20"/>
          <w:szCs w:val="20"/>
          <w:lang w:eastAsia="et-EE"/>
        </w:rPr>
        <w:t xml:space="preserve">Rõngu Lasteaed Pihlakobar </w:t>
      </w:r>
      <w:r w:rsidRPr="005D7901">
        <w:rPr>
          <w:rFonts w:ascii="Arial" w:eastAsia="Times New Roman" w:hAnsi="Arial" w:cs="Arial"/>
          <w:b/>
          <w:bCs/>
          <w:color w:val="6F6F6F"/>
          <w:sz w:val="20"/>
          <w:szCs w:val="20"/>
          <w:lang w:eastAsia="et-EE"/>
        </w:rPr>
        <w:t>andmetöötlustingimused ehk privaatsuspoliitika</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 xml:space="preserve">Privaatsuspoliitika annab ülevaate, kuidas </w:t>
      </w:r>
      <w:r w:rsidRPr="00153131">
        <w:rPr>
          <w:rFonts w:ascii="Arial" w:eastAsia="Times New Roman" w:hAnsi="Arial" w:cs="Arial"/>
          <w:color w:val="6F6F6F"/>
          <w:sz w:val="20"/>
          <w:szCs w:val="20"/>
          <w:lang w:eastAsia="et-EE"/>
        </w:rPr>
        <w:t xml:space="preserve">Rõngu Lasteaed Pihlakobar </w:t>
      </w:r>
      <w:r w:rsidRPr="005D7901">
        <w:rPr>
          <w:rFonts w:ascii="Arial" w:eastAsia="Times New Roman" w:hAnsi="Arial" w:cs="Arial"/>
          <w:color w:val="6F6F6F"/>
          <w:sz w:val="20"/>
          <w:szCs w:val="20"/>
          <w:lang w:eastAsia="et-EE"/>
        </w:rPr>
        <w:t>(edaspidi </w:t>
      </w:r>
      <w:r w:rsidRPr="005D7901">
        <w:rPr>
          <w:rFonts w:ascii="Arial" w:eastAsia="Times New Roman" w:hAnsi="Arial" w:cs="Arial"/>
          <w:i/>
          <w:iCs/>
          <w:color w:val="6F6F6F"/>
          <w:sz w:val="20"/>
          <w:szCs w:val="20"/>
          <w:lang w:eastAsia="et-EE"/>
        </w:rPr>
        <w:t>lasteaed</w:t>
      </w:r>
      <w:r w:rsidRPr="005D7901">
        <w:rPr>
          <w:rFonts w:ascii="Arial" w:eastAsia="Times New Roman" w:hAnsi="Arial" w:cs="Arial"/>
          <w:color w:val="6F6F6F"/>
          <w:sz w:val="20"/>
          <w:szCs w:val="20"/>
          <w:lang w:eastAsia="et-EE"/>
        </w:rPr>
        <w:t>) kui Elva Vallavalitsuse hallatav allasutus kasutab ja hoiab oma tegevuse käigus saadud isikuandmeid.</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Lasteaed lähtub põhimõttest, et tema tegevus on avalik ning igaühel on õigus tutvuda asutuse töö tulemustega ja avalikustamisele kuuluvate dokumentidega lasteaia veebilehe või dokumendiregistri vahendusel.</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Selliste dokumentide ja muus vormis teabe väljastamine, mida avalikes registrites ei avalikustata, otsustatakse konkreetse teabenõude alusel.</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b/>
          <w:bCs/>
          <w:color w:val="6F6F6F"/>
          <w:sz w:val="20"/>
          <w:szCs w:val="20"/>
          <w:lang w:eastAsia="et-EE"/>
        </w:rPr>
        <w:t> </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b/>
          <w:bCs/>
          <w:color w:val="6F6F6F"/>
          <w:sz w:val="20"/>
          <w:szCs w:val="20"/>
          <w:lang w:eastAsia="et-EE"/>
        </w:rPr>
        <w:t>Isikuandmete töötlemise alused</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Isikuandmed on mistahes andmed, mis võimaldavad isiku tuvastada. Isikuandmete töötlemine on mistahes isikuandmetega tehtav toiming.</w:t>
      </w:r>
    </w:p>
    <w:p w:rsidR="00153131" w:rsidRPr="005D7901" w:rsidRDefault="00153131" w:rsidP="00153131">
      <w:pPr>
        <w:shd w:val="clear" w:color="auto" w:fill="FFFFFF"/>
        <w:spacing w:after="150" w:line="240" w:lineRule="auto"/>
        <w:rPr>
          <w:rFonts w:ascii="Arial" w:eastAsia="Times New Roman" w:hAnsi="Arial" w:cs="Arial"/>
          <w:color w:val="0070C0"/>
          <w:sz w:val="21"/>
          <w:szCs w:val="21"/>
          <w:lang w:eastAsia="et-EE"/>
        </w:rPr>
      </w:pPr>
      <w:r w:rsidRPr="005D7901">
        <w:rPr>
          <w:rFonts w:ascii="Arial" w:eastAsia="Times New Roman" w:hAnsi="Arial" w:cs="Arial"/>
          <w:color w:val="6F6F6F"/>
          <w:sz w:val="20"/>
          <w:szCs w:val="20"/>
          <w:lang w:eastAsia="et-EE"/>
        </w:rPr>
        <w:t>Lasteaed töötleb isikuandmeid seoses avalike ülesannete täitmise või teabenõuete lahendamisega. Seejuures lähtutakse peamiselt </w:t>
      </w:r>
      <w:hyperlink r:id="rId5" w:history="1">
        <w:r w:rsidRPr="00153131">
          <w:rPr>
            <w:rFonts w:ascii="Arial" w:eastAsia="Times New Roman" w:hAnsi="Arial" w:cs="Arial"/>
            <w:b/>
            <w:bCs/>
            <w:color w:val="0070C0"/>
            <w:sz w:val="20"/>
            <w:szCs w:val="20"/>
            <w:lang w:eastAsia="et-EE"/>
          </w:rPr>
          <w:t>isikuandmete kaitse seadusest (edaspidi </w:t>
        </w:r>
        <w:r w:rsidRPr="00153131">
          <w:rPr>
            <w:rFonts w:ascii="Arial" w:eastAsia="Times New Roman" w:hAnsi="Arial" w:cs="Arial"/>
            <w:b/>
            <w:bCs/>
            <w:i/>
            <w:iCs/>
            <w:color w:val="0070C0"/>
            <w:sz w:val="20"/>
            <w:szCs w:val="20"/>
            <w:lang w:eastAsia="et-EE"/>
          </w:rPr>
          <w:t>IKS</w:t>
        </w:r>
        <w:r w:rsidRPr="00153131">
          <w:rPr>
            <w:rFonts w:ascii="Arial" w:eastAsia="Times New Roman" w:hAnsi="Arial" w:cs="Arial"/>
            <w:b/>
            <w:bCs/>
            <w:color w:val="0070C0"/>
            <w:sz w:val="20"/>
            <w:szCs w:val="20"/>
            <w:lang w:eastAsia="et-EE"/>
          </w:rPr>
          <w:t>)</w:t>
        </w:r>
      </w:hyperlink>
      <w:r w:rsidRPr="005D7901">
        <w:rPr>
          <w:rFonts w:ascii="Arial" w:eastAsia="Times New Roman" w:hAnsi="Arial" w:cs="Arial"/>
          <w:color w:val="0070C0"/>
          <w:sz w:val="20"/>
          <w:szCs w:val="20"/>
          <w:lang w:eastAsia="et-EE"/>
        </w:rPr>
        <w:t>, </w:t>
      </w:r>
      <w:hyperlink r:id="rId6" w:history="1">
        <w:r w:rsidRPr="00153131">
          <w:rPr>
            <w:rFonts w:ascii="Arial" w:eastAsia="Times New Roman" w:hAnsi="Arial" w:cs="Arial"/>
            <w:b/>
            <w:bCs/>
            <w:color w:val="0070C0"/>
            <w:sz w:val="20"/>
            <w:szCs w:val="20"/>
            <w:lang w:eastAsia="et-EE"/>
          </w:rPr>
          <w:t>avaliku teabe seadusest (edaspidi </w:t>
        </w:r>
        <w:proofErr w:type="spellStart"/>
        <w:r w:rsidRPr="00153131">
          <w:rPr>
            <w:rFonts w:ascii="Arial" w:eastAsia="Times New Roman" w:hAnsi="Arial" w:cs="Arial"/>
            <w:b/>
            <w:bCs/>
            <w:i/>
            <w:iCs/>
            <w:color w:val="0070C0"/>
            <w:sz w:val="20"/>
            <w:szCs w:val="20"/>
            <w:lang w:eastAsia="et-EE"/>
          </w:rPr>
          <w:t>AvTS</w:t>
        </w:r>
        <w:proofErr w:type="spellEnd"/>
        <w:r w:rsidRPr="00153131">
          <w:rPr>
            <w:rFonts w:ascii="Arial" w:eastAsia="Times New Roman" w:hAnsi="Arial" w:cs="Arial"/>
            <w:b/>
            <w:bCs/>
            <w:color w:val="0070C0"/>
            <w:sz w:val="20"/>
            <w:szCs w:val="20"/>
            <w:lang w:eastAsia="et-EE"/>
          </w:rPr>
          <w:t>)</w:t>
        </w:r>
      </w:hyperlink>
      <w:r w:rsidRPr="005D7901">
        <w:rPr>
          <w:rFonts w:ascii="Arial" w:eastAsia="Times New Roman" w:hAnsi="Arial" w:cs="Arial"/>
          <w:color w:val="0070C0"/>
          <w:sz w:val="20"/>
          <w:szCs w:val="20"/>
          <w:lang w:eastAsia="et-EE"/>
        </w:rPr>
        <w:t xml:space="preserve">, </w:t>
      </w:r>
      <w:r w:rsidRPr="005D7901">
        <w:rPr>
          <w:rFonts w:ascii="Arial" w:eastAsia="Times New Roman" w:hAnsi="Arial" w:cs="Arial"/>
          <w:color w:val="6F6F6F"/>
          <w:sz w:val="20"/>
          <w:szCs w:val="20"/>
          <w:lang w:eastAsia="et-EE"/>
        </w:rPr>
        <w:t>asutuse sisemise tegevuse korraldamiseks kehtestatud õigusaktidest ja alates 25.05.2018 </w:t>
      </w:r>
      <w:hyperlink r:id="rId7" w:history="1">
        <w:r w:rsidRPr="00153131">
          <w:rPr>
            <w:rFonts w:ascii="Arial" w:eastAsia="Times New Roman" w:hAnsi="Arial" w:cs="Arial"/>
            <w:b/>
            <w:bCs/>
            <w:color w:val="0070C0"/>
            <w:sz w:val="20"/>
            <w:szCs w:val="20"/>
            <w:lang w:eastAsia="et-EE"/>
          </w:rPr>
          <w:t xml:space="preserve">isikuandmete kaitse </w:t>
        </w:r>
        <w:proofErr w:type="spellStart"/>
        <w:r w:rsidRPr="00153131">
          <w:rPr>
            <w:rFonts w:ascii="Arial" w:eastAsia="Times New Roman" w:hAnsi="Arial" w:cs="Arial"/>
            <w:b/>
            <w:bCs/>
            <w:color w:val="0070C0"/>
            <w:sz w:val="20"/>
            <w:szCs w:val="20"/>
            <w:lang w:eastAsia="et-EE"/>
          </w:rPr>
          <w:t>üldmäärusest</w:t>
        </w:r>
        <w:proofErr w:type="spellEnd"/>
      </w:hyperlink>
      <w:r w:rsidRPr="005D7901">
        <w:rPr>
          <w:rFonts w:ascii="Arial" w:eastAsia="Times New Roman" w:hAnsi="Arial" w:cs="Arial"/>
          <w:color w:val="0070C0"/>
          <w:sz w:val="20"/>
          <w:szCs w:val="20"/>
          <w:lang w:eastAsia="et-EE"/>
        </w:rPr>
        <w:t>.</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Töökorraldusega tagatakse, et isikuandmete töötlemisel riivatakse isikute eraelu puutumatust võimalikult vähe.</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1"/>
          <w:szCs w:val="21"/>
          <w:lang w:eastAsia="et-EE"/>
        </w:rPr>
        <w:t> </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b/>
          <w:bCs/>
          <w:color w:val="6F6F6F"/>
          <w:sz w:val="20"/>
          <w:szCs w:val="20"/>
          <w:lang w:eastAsia="et-EE"/>
        </w:rPr>
        <w:t>Juurdepääsupiirangud ja dokumentide säilitustähtajad</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 xml:space="preserve">Lasteaeda saabunud dokumendid registreeritakse lasteaia dokumendiregistris </w:t>
      </w:r>
      <w:proofErr w:type="spellStart"/>
      <w:r w:rsidRPr="005D7901">
        <w:rPr>
          <w:rFonts w:ascii="Arial" w:eastAsia="Times New Roman" w:hAnsi="Arial" w:cs="Arial"/>
          <w:color w:val="6F6F6F"/>
          <w:sz w:val="20"/>
          <w:szCs w:val="20"/>
          <w:lang w:eastAsia="et-EE"/>
        </w:rPr>
        <w:t>Amphora</w:t>
      </w:r>
      <w:proofErr w:type="spellEnd"/>
      <w:r w:rsidRPr="005D7901">
        <w:rPr>
          <w:rFonts w:ascii="Arial" w:eastAsia="Times New Roman" w:hAnsi="Arial" w:cs="Arial"/>
          <w:color w:val="6F6F6F"/>
          <w:sz w:val="20"/>
          <w:szCs w:val="20"/>
          <w:lang w:eastAsia="et-EE"/>
        </w:rPr>
        <w:t>.</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Kui lasteaiale esitatud dokument sisaldab isikuandmeid, millele avaliku juurdepääsu võimaldamine ei ole seaduse alusel lubatud, kehtestab registri täitja sellele juurdepääsupiirangu. Dokumendiregistris kuvatakse pöördumise registriandmed, sealhulgas saatja/saaja nimi (avalikus vaates – eesnime ja perekonnanime esitähed). Tundlikuma sisuga dokumendi pealkiri näidatakse üksnes dokumendi liigina (avaldus, teabenõue, vaie). Avalikus vaates dokumendi sisu ei avalikustata. Kui pöördumises on märgitud, et tegemist on avaliku kirjaga, avalikustatakse see dokumendiregistris koos saatja nimega.</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 xml:space="preserve">Teabenõude saamisel vaadatakse üle, kas küsitud dokumendi saab osaliselt või täielikult välja anda. Kindlasti kaetakse kinni isiklikud kontaktandmed, nagu aadress, e-posti aadress või telefoninumber (v.a juhul, kui isik peab kirjavahetust juriidilise isiku või asutuse esindajana). Muus osas sõltub juurdepääsu kohaldamine dokumendi sisust. Võimalikud juurdepääsupiirangute alused on toodud </w:t>
      </w:r>
      <w:proofErr w:type="spellStart"/>
      <w:r w:rsidRPr="005D7901">
        <w:rPr>
          <w:rFonts w:ascii="Arial" w:eastAsia="Times New Roman" w:hAnsi="Arial" w:cs="Arial"/>
          <w:color w:val="6F6F6F"/>
          <w:sz w:val="20"/>
          <w:szCs w:val="20"/>
          <w:lang w:eastAsia="et-EE"/>
        </w:rPr>
        <w:t>AvTS</w:t>
      </w:r>
      <w:proofErr w:type="spellEnd"/>
      <w:r w:rsidRPr="005D7901">
        <w:rPr>
          <w:rFonts w:ascii="Arial" w:eastAsia="Times New Roman" w:hAnsi="Arial" w:cs="Arial"/>
          <w:color w:val="6F6F6F"/>
          <w:sz w:val="20"/>
          <w:szCs w:val="20"/>
          <w:lang w:eastAsia="et-EE"/>
        </w:rPr>
        <w:t xml:space="preserve"> §-s 35.</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Juurdepääsupiirangute kui ka dokumentide säilitustähtaegadega on võimalik tutvuda lasteaia dokumentide loetelus.</w:t>
      </w:r>
      <w:bookmarkStart w:id="0" w:name="_GoBack"/>
      <w:bookmarkEnd w:id="0"/>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lastRenderedPageBreak/>
        <w:t xml:space="preserve">Hoolimata juurdepääsupiirangust väljastatakse dokument asutusele või isikule, kellel on otsene seadusest tulenev õigus seda küsida, näiteks kohtueelne </w:t>
      </w:r>
      <w:proofErr w:type="spellStart"/>
      <w:r w:rsidRPr="005D7901">
        <w:rPr>
          <w:rFonts w:ascii="Arial" w:eastAsia="Times New Roman" w:hAnsi="Arial" w:cs="Arial"/>
          <w:color w:val="6F6F6F"/>
          <w:sz w:val="20"/>
          <w:szCs w:val="20"/>
          <w:lang w:eastAsia="et-EE"/>
        </w:rPr>
        <w:t>menetleja</w:t>
      </w:r>
      <w:proofErr w:type="spellEnd"/>
      <w:r w:rsidRPr="005D7901">
        <w:rPr>
          <w:rFonts w:ascii="Arial" w:eastAsia="Times New Roman" w:hAnsi="Arial" w:cs="Arial"/>
          <w:color w:val="6F6F6F"/>
          <w:sz w:val="20"/>
          <w:szCs w:val="20"/>
          <w:lang w:eastAsia="et-EE"/>
        </w:rPr>
        <w:t xml:space="preserve"> või kohus. Kohtuasjadega seotud dokumentidele kohaldatakse juurdepääsupiirangut vähemalt kohtuasja menetlemise ajaks (</w:t>
      </w:r>
      <w:proofErr w:type="spellStart"/>
      <w:r w:rsidRPr="005D7901">
        <w:rPr>
          <w:rFonts w:ascii="Arial" w:eastAsia="Times New Roman" w:hAnsi="Arial" w:cs="Arial"/>
          <w:color w:val="6F6F6F"/>
          <w:sz w:val="20"/>
          <w:szCs w:val="20"/>
          <w:lang w:eastAsia="et-EE"/>
        </w:rPr>
        <w:t>AvTS</w:t>
      </w:r>
      <w:proofErr w:type="spellEnd"/>
      <w:r w:rsidRPr="005D7901">
        <w:rPr>
          <w:rFonts w:ascii="Arial" w:eastAsia="Times New Roman" w:hAnsi="Arial" w:cs="Arial"/>
          <w:color w:val="6F6F6F"/>
          <w:sz w:val="20"/>
          <w:szCs w:val="20"/>
          <w:lang w:eastAsia="et-EE"/>
        </w:rPr>
        <w:t xml:space="preserve"> § 35 lg 1 p 19 koos muust seadusest tuleneva sättega).</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1"/>
          <w:szCs w:val="21"/>
          <w:lang w:eastAsia="et-EE"/>
        </w:rPr>
        <w:t> </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b/>
          <w:bCs/>
          <w:color w:val="6F6F6F"/>
          <w:sz w:val="20"/>
          <w:szCs w:val="20"/>
          <w:lang w:eastAsia="et-EE"/>
        </w:rPr>
        <w:t>Pöördumisele vastamine</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 xml:space="preserve">Isiku pöördumisele vastatakse tema valitud viisil kas telefoni, e-posti või kirja teel. Olenevalt teema delikaatsusest edastatakse vastus krüptitud või krüptimata </w:t>
      </w:r>
      <w:proofErr w:type="spellStart"/>
      <w:r w:rsidRPr="005D7901">
        <w:rPr>
          <w:rFonts w:ascii="Arial" w:eastAsia="Times New Roman" w:hAnsi="Arial" w:cs="Arial"/>
          <w:color w:val="6F6F6F"/>
          <w:sz w:val="20"/>
          <w:szCs w:val="20"/>
          <w:lang w:eastAsia="et-EE"/>
        </w:rPr>
        <w:t>e-kirjaga</w:t>
      </w:r>
      <w:proofErr w:type="spellEnd"/>
      <w:r w:rsidRPr="005D7901">
        <w:rPr>
          <w:rFonts w:ascii="Arial" w:eastAsia="Times New Roman" w:hAnsi="Arial" w:cs="Arial"/>
          <w:color w:val="6F6F6F"/>
          <w:sz w:val="20"/>
          <w:szCs w:val="20"/>
          <w:lang w:eastAsia="et-EE"/>
        </w:rPr>
        <w:t>. Kui isik soovib vastust saada tavaposti teel, siis vastatakse talle olenevalt teema delikaatsusest kas liht- või tähtkirjaga.</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1"/>
          <w:szCs w:val="21"/>
          <w:lang w:eastAsia="et-EE"/>
        </w:rPr>
        <w:t> </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b/>
          <w:bCs/>
          <w:color w:val="6F6F6F"/>
          <w:sz w:val="20"/>
          <w:szCs w:val="20"/>
          <w:lang w:eastAsia="et-EE"/>
        </w:rPr>
        <w:t>Andmete edastamine kolmandatele isikutele haldusmenetluse raames</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 xml:space="preserve">Kui haldusmenetluse raames tuleb andmeid edastada kolmandatele isikutele, lähtub lasteaed </w:t>
      </w:r>
      <w:r w:rsidRPr="005D7901">
        <w:rPr>
          <w:rFonts w:ascii="Arial" w:eastAsia="Times New Roman" w:hAnsi="Arial" w:cs="Arial"/>
          <w:color w:val="0070C0"/>
          <w:sz w:val="20"/>
          <w:szCs w:val="20"/>
          <w:lang w:eastAsia="et-EE"/>
        </w:rPr>
        <w:t>IKS, </w:t>
      </w:r>
      <w:hyperlink r:id="rId8" w:history="1">
        <w:r w:rsidRPr="00153131">
          <w:rPr>
            <w:rFonts w:ascii="Arial" w:eastAsia="Times New Roman" w:hAnsi="Arial" w:cs="Arial"/>
            <w:b/>
            <w:bCs/>
            <w:color w:val="0070C0"/>
            <w:sz w:val="20"/>
            <w:szCs w:val="20"/>
            <w:lang w:eastAsia="et-EE"/>
          </w:rPr>
          <w:t>haldusmenetluse seadusest (edaspidi HMS)</w:t>
        </w:r>
      </w:hyperlink>
      <w:r w:rsidRPr="005D7901">
        <w:rPr>
          <w:rFonts w:ascii="Arial" w:eastAsia="Times New Roman" w:hAnsi="Arial" w:cs="Arial"/>
          <w:color w:val="0070C0"/>
          <w:sz w:val="20"/>
          <w:szCs w:val="20"/>
          <w:lang w:eastAsia="et-EE"/>
        </w:rPr>
        <w:t xml:space="preserve">, </w:t>
      </w:r>
      <w:proofErr w:type="spellStart"/>
      <w:r w:rsidRPr="005D7901">
        <w:rPr>
          <w:rFonts w:ascii="Arial" w:eastAsia="Times New Roman" w:hAnsi="Arial" w:cs="Arial"/>
          <w:color w:val="0070C0"/>
          <w:sz w:val="20"/>
          <w:szCs w:val="20"/>
          <w:lang w:eastAsia="et-EE"/>
        </w:rPr>
        <w:t>AvTS</w:t>
      </w:r>
      <w:proofErr w:type="spellEnd"/>
      <w:r w:rsidRPr="005D7901">
        <w:rPr>
          <w:rFonts w:ascii="Arial" w:eastAsia="Times New Roman" w:hAnsi="Arial" w:cs="Arial"/>
          <w:color w:val="0070C0"/>
          <w:sz w:val="20"/>
          <w:szCs w:val="20"/>
          <w:lang w:eastAsia="et-EE"/>
        </w:rPr>
        <w:t xml:space="preserve"> </w:t>
      </w:r>
      <w:r w:rsidRPr="005D7901">
        <w:rPr>
          <w:rFonts w:ascii="Arial" w:eastAsia="Times New Roman" w:hAnsi="Arial" w:cs="Arial"/>
          <w:color w:val="6F6F6F"/>
          <w:sz w:val="20"/>
          <w:szCs w:val="20"/>
          <w:lang w:eastAsia="et-EE"/>
        </w:rPr>
        <w:t>ja muudest õigusaktidest.</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HMS järgi on igaühel õigus menetluse igas staadiumis tutvuda lasteaias säilitatavate dokumentidega, mis on haldusmenetlusega seotud. Dokumentidega saab tutvuda üldjuhul lasteaia tööruumides juhtkonna juuresolekul. Lasteaed võib keelata toimiku, dokumendi või selle osaga tutvumise, kui selles sisalduvaid andmeid on seaduse kohaselt keelatud avaldada.</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proofErr w:type="spellStart"/>
      <w:r w:rsidRPr="005D7901">
        <w:rPr>
          <w:rFonts w:ascii="Arial" w:eastAsia="Times New Roman" w:hAnsi="Arial" w:cs="Arial"/>
          <w:color w:val="6F6F6F"/>
          <w:sz w:val="20"/>
          <w:szCs w:val="20"/>
          <w:lang w:eastAsia="et-EE"/>
        </w:rPr>
        <w:t>AvTS</w:t>
      </w:r>
      <w:proofErr w:type="spellEnd"/>
      <w:r w:rsidRPr="005D7901">
        <w:rPr>
          <w:rFonts w:ascii="Arial" w:eastAsia="Times New Roman" w:hAnsi="Arial" w:cs="Arial"/>
          <w:color w:val="6F6F6F"/>
          <w:sz w:val="20"/>
          <w:szCs w:val="20"/>
          <w:lang w:eastAsia="et-EE"/>
        </w:rPr>
        <w:t xml:space="preserve"> § 35 lg 1 p 2 kohaselt on teabevaldaja kohustatud tunnistama asutusesiseseks kasutamiseks mõeldud teabeks nii riikliku järelevalve, haldusjärelevalve ja teenistusliku järelevalve menetluse käigus kogutud teabe kuni selle kohta tehtud otsuse jõustumiseni.</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b/>
          <w:bCs/>
          <w:color w:val="6F6F6F"/>
          <w:sz w:val="20"/>
          <w:szCs w:val="20"/>
          <w:lang w:eastAsia="et-EE"/>
        </w:rPr>
        <w:t> </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b/>
          <w:bCs/>
          <w:color w:val="6F6F6F"/>
          <w:sz w:val="20"/>
          <w:szCs w:val="20"/>
          <w:lang w:eastAsia="et-EE"/>
        </w:rPr>
        <w:t>Isikuandmete edastamine andmekogudesse</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Lasteaed edastab andmekogudesse oma tegevusvaldkonnaga seotud andmeid. Kui eraisik soovib teavet, millistesse andmekogudesse lasteaed isikuandmeid edastab, tuleb pöörduda teabenõudega otse lasteaia poole.</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Lasteaia andmekogud, sh neis kogutavate andmete koosseis, on registreeritud riigi infosüsteemi halduse infosüsteemis (RIHA), andmekogude põhimäärustega saab tutvuda Riigi Teatajas.</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Andmekogudes isikuandmeid sisaldavaid osi avaandmetena ei esitata.</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1"/>
          <w:szCs w:val="21"/>
          <w:lang w:eastAsia="et-EE"/>
        </w:rPr>
        <w:t> </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b/>
          <w:bCs/>
          <w:color w:val="6F6F6F"/>
          <w:sz w:val="20"/>
          <w:szCs w:val="20"/>
          <w:lang w:eastAsia="et-EE"/>
        </w:rPr>
        <w:t>Asutusse tööle kandideerijatelt kogutavad andmed</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Kandideerijal palutakse üldjuhul esitada CV ja haridust tõendav dokument ning konkursi tingimuste korral motivatsioonikiri.</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 xml:space="preserve">Kandideerimisavaldus registreeritakse lasteaia dokumendiregistris </w:t>
      </w:r>
      <w:proofErr w:type="spellStart"/>
      <w:r w:rsidRPr="005D7901">
        <w:rPr>
          <w:rFonts w:ascii="Arial" w:eastAsia="Times New Roman" w:hAnsi="Arial" w:cs="Arial"/>
          <w:color w:val="6F6F6F"/>
          <w:sz w:val="20"/>
          <w:szCs w:val="20"/>
          <w:lang w:eastAsia="et-EE"/>
        </w:rPr>
        <w:t>Amphora</w:t>
      </w:r>
      <w:proofErr w:type="spellEnd"/>
      <w:r w:rsidRPr="005D7901">
        <w:rPr>
          <w:rFonts w:ascii="Arial" w:eastAsia="Times New Roman" w:hAnsi="Arial" w:cs="Arial"/>
          <w:color w:val="6F6F6F"/>
          <w:sz w:val="20"/>
          <w:szCs w:val="20"/>
          <w:lang w:eastAsia="et-EE"/>
        </w:rPr>
        <w:t xml:space="preserve"> ja paberkandjal saabunud dokumente säilitatakse vastavalt säilitustähtaegadele, mis on kehtestatud dokumentide loet</w:t>
      </w:r>
      <w:r>
        <w:rPr>
          <w:rFonts w:ascii="Arial" w:eastAsia="Times New Roman" w:hAnsi="Arial" w:cs="Arial"/>
          <w:color w:val="6F6F6F"/>
          <w:sz w:val="20"/>
          <w:szCs w:val="20"/>
          <w:lang w:eastAsia="et-EE"/>
        </w:rPr>
        <w:t>e</w:t>
      </w:r>
      <w:r w:rsidRPr="005D7901">
        <w:rPr>
          <w:rFonts w:ascii="Arial" w:eastAsia="Times New Roman" w:hAnsi="Arial" w:cs="Arial"/>
          <w:color w:val="6F6F6F"/>
          <w:sz w:val="20"/>
          <w:szCs w:val="20"/>
          <w:lang w:eastAsia="et-EE"/>
        </w:rPr>
        <w:t>lus.</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 xml:space="preserve">Andmete kogumist pedagoogide värbamisel reguleerib </w:t>
      </w:r>
      <w:r w:rsidRPr="00153131">
        <w:rPr>
          <w:rFonts w:ascii="Arial" w:eastAsia="Times New Roman" w:hAnsi="Arial" w:cs="Arial"/>
          <w:color w:val="6F6F6F"/>
          <w:sz w:val="20"/>
          <w:szCs w:val="20"/>
          <w:lang w:eastAsia="et-EE"/>
        </w:rPr>
        <w:t xml:space="preserve">Rõngu Lasteaed Pihlakobar </w:t>
      </w:r>
      <w:r w:rsidRPr="005D7901">
        <w:rPr>
          <w:rFonts w:ascii="Arial" w:eastAsia="Times New Roman" w:hAnsi="Arial" w:cs="Arial"/>
          <w:color w:val="6F6F6F"/>
          <w:sz w:val="20"/>
          <w:szCs w:val="20"/>
          <w:lang w:eastAsia="et-EE"/>
        </w:rPr>
        <w:t>pedagoogi vaba ametikoha täitmiseks korraldatava konkursi läbiviimise kord.</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Konkursi korras värbamisest ja valikust tehakse komisjoni protokoll, mida säilitatakse lasteaia ühtse asjaajamiskorra kohaselt.</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Kandidaadil on õigus saada teavet värbamise ja valiku käigus tema kohta kogutud andmete ning teda puudutavate otsuste tegemise kohta.</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Ametikohale kandideerijate andmeid ei avalikustata teistele kandidaatidele.</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b/>
          <w:bCs/>
          <w:color w:val="6F6F6F"/>
          <w:sz w:val="20"/>
          <w:szCs w:val="20"/>
          <w:lang w:eastAsia="et-EE"/>
        </w:rPr>
        <w:t> </w:t>
      </w:r>
      <w:r w:rsidRPr="005D7901">
        <w:rPr>
          <w:rFonts w:ascii="Arial" w:eastAsia="Times New Roman" w:hAnsi="Arial" w:cs="Arial"/>
          <w:color w:val="6F6F6F"/>
          <w:sz w:val="21"/>
          <w:szCs w:val="21"/>
          <w:lang w:eastAsia="et-EE"/>
        </w:rPr>
        <w:t> </w:t>
      </w:r>
    </w:p>
    <w:p w:rsidR="00153131" w:rsidRPr="005D7901" w:rsidRDefault="00153131" w:rsidP="00153131">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b/>
          <w:bCs/>
          <w:color w:val="6F6F6F"/>
          <w:sz w:val="20"/>
          <w:szCs w:val="20"/>
          <w:lang w:eastAsia="et-EE"/>
        </w:rPr>
        <w:t>Õigus tutvuda enda kohta käivate andmetega</w:t>
      </w:r>
    </w:p>
    <w:p w:rsidR="007070CA" w:rsidRPr="00A311FD" w:rsidRDefault="00153131" w:rsidP="00A311FD">
      <w:pPr>
        <w:shd w:val="clear" w:color="auto" w:fill="FFFFFF"/>
        <w:spacing w:after="150" w:line="240" w:lineRule="auto"/>
        <w:rPr>
          <w:rFonts w:ascii="Arial" w:eastAsia="Times New Roman" w:hAnsi="Arial" w:cs="Arial"/>
          <w:color w:val="6F6F6F"/>
          <w:sz w:val="21"/>
          <w:szCs w:val="21"/>
          <w:lang w:eastAsia="et-EE"/>
        </w:rPr>
      </w:pPr>
      <w:r w:rsidRPr="005D7901">
        <w:rPr>
          <w:rFonts w:ascii="Arial" w:eastAsia="Times New Roman" w:hAnsi="Arial" w:cs="Arial"/>
          <w:color w:val="6F6F6F"/>
          <w:sz w:val="20"/>
          <w:szCs w:val="20"/>
          <w:lang w:eastAsia="et-EE"/>
        </w:rPr>
        <w:t>Isikuandmete kaitse seaduse kohaselt on isikul õigus tutvuda andmetega, mida asutus tema kohta valdab. Selleks on võimalik esitada asjaomasele asutusele teabenõue.</w:t>
      </w:r>
    </w:p>
    <w:sectPr w:rsidR="007070CA" w:rsidRPr="00A31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31"/>
    <w:rsid w:val="00153131"/>
    <w:rsid w:val="007070CA"/>
    <w:rsid w:val="00971E9F"/>
    <w:rsid w:val="00A311F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3743C-A571-4BAA-AFCC-6C381908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53131"/>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8122017021?leiaKehtiv" TargetMode="External"/><Relationship Id="rId3" Type="http://schemas.openxmlformats.org/officeDocument/2006/relationships/webSettings" Target="webSettings.xml"/><Relationship Id="rId7" Type="http://schemas.openxmlformats.org/officeDocument/2006/relationships/hyperlink" Target="http://eur-lex.europa.eu/legal-content/ET/TXT/PDF/?uri=CELEX:32016R0679&amp;from=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igiteataja.ee/akt/104072017011?leiaKehtiv" TargetMode="External"/><Relationship Id="rId5" Type="http://schemas.openxmlformats.org/officeDocument/2006/relationships/hyperlink" Target="https://www.riigiteataja.ee/akt/106012016010?leiaKehtiv" TargetMode="External"/><Relationship Id="rId10" Type="http://schemas.openxmlformats.org/officeDocument/2006/relationships/theme" Target="theme/theme1.xml"/><Relationship Id="rId4" Type="http://schemas.openxmlformats.org/officeDocument/2006/relationships/hyperlink" Target="mailto:kaisa.kokk@elva.ee" TargetMode="Externa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921</Words>
  <Characters>5348</Characters>
  <Application>Microsoft Office Word</Application>
  <DocSecurity>0</DocSecurity>
  <Lines>44</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2</cp:revision>
  <dcterms:created xsi:type="dcterms:W3CDTF">2018-11-05T10:44:00Z</dcterms:created>
  <dcterms:modified xsi:type="dcterms:W3CDTF">2018-11-05T10:56:00Z</dcterms:modified>
</cp:coreProperties>
</file>