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713F6" w14:textId="77777777" w:rsidR="000606EE" w:rsidRPr="006536A2" w:rsidRDefault="000606EE" w:rsidP="000606EE">
      <w:pPr>
        <w:pStyle w:val="Heading1"/>
        <w:numPr>
          <w:ilvl w:val="0"/>
          <w:numId w:val="0"/>
        </w:numPr>
        <w:ind w:left="432" w:hanging="432"/>
        <w:rPr>
          <w:rFonts w:ascii="Times New Roman" w:eastAsia="Calibri" w:hAnsi="Times New Roman" w:cs="Times New Roman"/>
          <w:color w:val="44546A" w:themeColor="text2"/>
          <w:sz w:val="28"/>
          <w:szCs w:val="28"/>
        </w:rPr>
      </w:pPr>
      <w:bookmarkStart w:id="0" w:name="_Toc472932144"/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8. </w:t>
      </w:r>
      <w:r w:rsidRPr="006536A2">
        <w:rPr>
          <w:rFonts w:ascii="Times New Roman" w:hAnsi="Times New Roman" w:cs="Times New Roman"/>
          <w:color w:val="44546A" w:themeColor="text2"/>
          <w:sz w:val="28"/>
          <w:szCs w:val="28"/>
        </w:rPr>
        <w:t>Strateegia rahastamiskava</w:t>
      </w:r>
      <w:bookmarkEnd w:id="0"/>
      <w:r>
        <w:rPr>
          <w:rFonts w:ascii="Times New Roman" w:hAnsi="Times New Roman" w:cs="Times New Roman"/>
          <w:color w:val="44546A" w:themeColor="text2"/>
          <w:sz w:val="28"/>
          <w:szCs w:val="28"/>
        </w:rPr>
        <w:t xml:space="preserve"> (LK65)</w:t>
      </w:r>
    </w:p>
    <w:p w14:paraId="45E59D4F" w14:textId="77777777" w:rsidR="000606EE" w:rsidRDefault="000606EE" w:rsidP="000606EE">
      <w:pPr>
        <w:spacing w:before="0" w:after="200" w:line="276" w:lineRule="auto"/>
        <w:jc w:val="left"/>
        <w:rPr>
          <w:szCs w:val="22"/>
        </w:rPr>
      </w:pPr>
      <w:r w:rsidRPr="00F651DD">
        <w:rPr>
          <w:szCs w:val="22"/>
        </w:rPr>
        <w:t>Arenguvaldkondadele kavandatavad vahendite mahud jagunevad järgmiselt:</w:t>
      </w:r>
    </w:p>
    <w:p w14:paraId="14D0AA7B" w14:textId="77777777" w:rsidR="000606EE" w:rsidRPr="00997DE4" w:rsidRDefault="000606EE" w:rsidP="000606EE">
      <w:pPr>
        <w:spacing w:before="0" w:after="200" w:line="276" w:lineRule="auto"/>
        <w:jc w:val="left"/>
        <w:rPr>
          <w:szCs w:val="22"/>
        </w:rPr>
      </w:pPr>
      <w:r w:rsidRPr="00997DE4">
        <w:rPr>
          <w:szCs w:val="22"/>
        </w:rPr>
        <w:t>Arenguvaldkondadele kavandatavad vahendite mahud jagunevad järgmiselt:</w:t>
      </w:r>
    </w:p>
    <w:p w14:paraId="2428EECD" w14:textId="77777777" w:rsidR="000606EE" w:rsidRPr="00E458DD" w:rsidRDefault="000606EE" w:rsidP="000606EE">
      <w:pPr>
        <w:spacing w:before="0" w:after="200" w:line="276" w:lineRule="auto"/>
        <w:jc w:val="left"/>
        <w:rPr>
          <w:color w:val="FF0000"/>
          <w:szCs w:val="22"/>
        </w:rPr>
      </w:pPr>
      <w:r w:rsidRPr="00997DE4">
        <w:rPr>
          <w:szCs w:val="22"/>
        </w:rPr>
        <w:t>•</w:t>
      </w:r>
      <w:r w:rsidRPr="00997DE4">
        <w:rPr>
          <w:szCs w:val="22"/>
        </w:rPr>
        <w:tab/>
        <w:t xml:space="preserve">kala </w:t>
      </w:r>
      <w:proofErr w:type="spellStart"/>
      <w:r w:rsidRPr="00997DE4">
        <w:rPr>
          <w:szCs w:val="22"/>
        </w:rPr>
        <w:t>väärindamine</w:t>
      </w:r>
      <w:proofErr w:type="spellEnd"/>
      <w:r w:rsidRPr="00997DE4">
        <w:rPr>
          <w:szCs w:val="22"/>
        </w:rPr>
        <w:t xml:space="preserve"> ja </w:t>
      </w:r>
      <w:proofErr w:type="spellStart"/>
      <w:r w:rsidRPr="00997DE4">
        <w:rPr>
          <w:szCs w:val="22"/>
        </w:rPr>
        <w:t>otseturundamine</w:t>
      </w:r>
      <w:proofErr w:type="spellEnd"/>
      <w:r w:rsidRPr="00997DE4">
        <w:rPr>
          <w:szCs w:val="22"/>
        </w:rPr>
        <w:t xml:space="preserve"> – </w:t>
      </w:r>
      <w:r w:rsidRPr="00331787">
        <w:rPr>
          <w:strike/>
          <w:szCs w:val="22"/>
        </w:rPr>
        <w:t>35%</w:t>
      </w:r>
      <w:r>
        <w:rPr>
          <w:szCs w:val="22"/>
        </w:rPr>
        <w:t xml:space="preserve">  </w:t>
      </w:r>
      <w:r w:rsidRPr="00E458DD">
        <w:rPr>
          <w:color w:val="FF0000"/>
          <w:szCs w:val="22"/>
        </w:rPr>
        <w:t>45%</w:t>
      </w:r>
    </w:p>
    <w:p w14:paraId="515DF834" w14:textId="77777777" w:rsidR="000606EE" w:rsidRPr="00997DE4" w:rsidRDefault="000606EE" w:rsidP="000606EE">
      <w:pPr>
        <w:spacing w:before="0" w:after="200" w:line="276" w:lineRule="auto"/>
        <w:jc w:val="left"/>
        <w:rPr>
          <w:szCs w:val="22"/>
        </w:rPr>
      </w:pPr>
      <w:r w:rsidRPr="00997DE4">
        <w:rPr>
          <w:szCs w:val="22"/>
        </w:rPr>
        <w:t>•</w:t>
      </w:r>
      <w:r w:rsidRPr="00997DE4">
        <w:rPr>
          <w:szCs w:val="22"/>
        </w:rPr>
        <w:tab/>
        <w:t>kalasadamate ja lossimiskohtade uuendamine –30%</w:t>
      </w:r>
    </w:p>
    <w:p w14:paraId="1D07B28B" w14:textId="77777777" w:rsidR="000606EE" w:rsidRPr="00E458DD" w:rsidRDefault="000606EE" w:rsidP="000606EE">
      <w:pPr>
        <w:spacing w:before="0" w:after="200" w:line="276" w:lineRule="auto"/>
        <w:jc w:val="left"/>
        <w:rPr>
          <w:szCs w:val="22"/>
        </w:rPr>
      </w:pPr>
      <w:r w:rsidRPr="00997DE4">
        <w:rPr>
          <w:szCs w:val="22"/>
        </w:rPr>
        <w:t>•</w:t>
      </w:r>
      <w:r w:rsidRPr="00997DE4">
        <w:rPr>
          <w:szCs w:val="22"/>
        </w:rPr>
        <w:tab/>
        <w:t xml:space="preserve">tegevuste mitmekesistamine – </w:t>
      </w:r>
      <w:r w:rsidRPr="00E458DD">
        <w:rPr>
          <w:strike/>
          <w:szCs w:val="22"/>
        </w:rPr>
        <w:t>26%</w:t>
      </w:r>
      <w:r>
        <w:rPr>
          <w:szCs w:val="22"/>
        </w:rPr>
        <w:t xml:space="preserve">   </w:t>
      </w:r>
      <w:r w:rsidRPr="00E458DD">
        <w:rPr>
          <w:color w:val="FF0000"/>
          <w:szCs w:val="22"/>
        </w:rPr>
        <w:t>16%</w:t>
      </w:r>
    </w:p>
    <w:p w14:paraId="4B593532" w14:textId="77777777" w:rsidR="000606EE" w:rsidRPr="00997DE4" w:rsidRDefault="000606EE" w:rsidP="000606EE">
      <w:pPr>
        <w:spacing w:before="0" w:after="200" w:line="276" w:lineRule="auto"/>
        <w:jc w:val="left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  <w:t xml:space="preserve">koelmualade taastamine – 4 </w:t>
      </w:r>
      <w:r w:rsidRPr="00997DE4">
        <w:rPr>
          <w:szCs w:val="22"/>
        </w:rPr>
        <w:t>%</w:t>
      </w:r>
    </w:p>
    <w:p w14:paraId="385A8992" w14:textId="77777777" w:rsidR="000606EE" w:rsidRDefault="000606EE" w:rsidP="000606EE">
      <w:pPr>
        <w:spacing w:before="0" w:after="200" w:line="276" w:lineRule="auto"/>
        <w:jc w:val="left"/>
        <w:rPr>
          <w:szCs w:val="22"/>
        </w:rPr>
      </w:pPr>
      <w:r w:rsidRPr="00997DE4">
        <w:rPr>
          <w:szCs w:val="22"/>
        </w:rPr>
        <w:t>•</w:t>
      </w:r>
      <w:r w:rsidRPr="00997DE4">
        <w:rPr>
          <w:szCs w:val="22"/>
        </w:rPr>
        <w:tab/>
        <w:t>sotsiaalse heaolu j</w:t>
      </w:r>
      <w:r>
        <w:rPr>
          <w:szCs w:val="22"/>
        </w:rPr>
        <w:t xml:space="preserve">a kultuuripärandi edendamine – 5 </w:t>
      </w:r>
      <w:r w:rsidRPr="00997DE4">
        <w:rPr>
          <w:szCs w:val="22"/>
        </w:rPr>
        <w:t>%</w:t>
      </w:r>
    </w:p>
    <w:p w14:paraId="045C67AE" w14:textId="77777777" w:rsidR="0029320E" w:rsidRDefault="0029320E" w:rsidP="000606EE">
      <w:pPr>
        <w:spacing w:before="0" w:after="200" w:line="276" w:lineRule="auto"/>
        <w:jc w:val="left"/>
        <w:rPr>
          <w:szCs w:val="22"/>
        </w:rPr>
      </w:pPr>
    </w:p>
    <w:p w14:paraId="6802362E" w14:textId="77777777" w:rsidR="0029320E" w:rsidRDefault="0029320E" w:rsidP="0029320E">
      <w:pPr>
        <w:pStyle w:val="Heading2"/>
        <w:numPr>
          <w:ilvl w:val="0"/>
          <w:numId w:val="0"/>
        </w:numPr>
        <w:spacing w:before="600" w:after="240" w:afterAutospacing="0"/>
        <w:ind w:left="2552"/>
        <w:jc w:val="left"/>
        <w:rPr>
          <w:rFonts w:ascii="Times New Roman" w:hAnsi="Times New Roman" w:cs="Times New Roman"/>
          <w:color w:val="44546A" w:themeColor="text2"/>
          <w:sz w:val="26"/>
          <w:szCs w:val="26"/>
        </w:rPr>
      </w:pPr>
      <w:bookmarkStart w:id="1" w:name="_Toc472932141"/>
      <w:r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6.4 </w:t>
      </w:r>
      <w:r w:rsidRPr="006536A2">
        <w:rPr>
          <w:rFonts w:ascii="Times New Roman" w:hAnsi="Times New Roman" w:cs="Times New Roman"/>
          <w:color w:val="44546A" w:themeColor="text2"/>
          <w:sz w:val="26"/>
          <w:szCs w:val="26"/>
        </w:rPr>
        <w:t>Projektitaotluste hindamise kord ja kriteeriumid</w:t>
      </w:r>
      <w:bookmarkEnd w:id="1"/>
      <w:r>
        <w:rPr>
          <w:rFonts w:ascii="Times New Roman" w:hAnsi="Times New Roman" w:cs="Times New Roman"/>
          <w:color w:val="44546A" w:themeColor="text2"/>
          <w:sz w:val="26"/>
          <w:szCs w:val="26"/>
        </w:rPr>
        <w:t xml:space="preserve"> (lk58)</w:t>
      </w:r>
    </w:p>
    <w:p w14:paraId="37E576DA" w14:textId="77777777" w:rsidR="0029320E" w:rsidRPr="00F651DD" w:rsidRDefault="0029320E" w:rsidP="0029320E">
      <w:pPr>
        <w:numPr>
          <w:ilvl w:val="0"/>
          <w:numId w:val="5"/>
        </w:numPr>
        <w:spacing w:before="0" w:after="200" w:line="276" w:lineRule="auto"/>
        <w:contextualSpacing/>
        <w:rPr>
          <w:szCs w:val="22"/>
        </w:rPr>
      </w:pPr>
      <w:r>
        <w:rPr>
          <w:szCs w:val="22"/>
        </w:rPr>
        <w:t>Hindamiskomisjoni liikmed</w:t>
      </w:r>
      <w:r w:rsidRPr="00F651DD">
        <w:rPr>
          <w:szCs w:val="22"/>
        </w:rPr>
        <w:t xml:space="preserve"> on hindamises vabad ja sõltumatud. </w:t>
      </w:r>
    </w:p>
    <w:p w14:paraId="790D517F" w14:textId="77777777" w:rsidR="0029320E" w:rsidRPr="00B22447" w:rsidRDefault="0029320E" w:rsidP="0029320E">
      <w:pPr>
        <w:numPr>
          <w:ilvl w:val="0"/>
          <w:numId w:val="5"/>
        </w:numPr>
        <w:spacing w:before="0" w:after="200" w:line="276" w:lineRule="auto"/>
        <w:contextualSpacing/>
        <w:rPr>
          <w:szCs w:val="22"/>
        </w:rPr>
      </w:pPr>
      <w:r w:rsidRPr="00DA5430">
        <w:t>Hindamiskomisjoni koosseisu kuuluvad ühingu huvirühmade esindajad  ja vajadusel kaastakse hindamisele eksperte.</w:t>
      </w:r>
    </w:p>
    <w:p w14:paraId="0EFC8035" w14:textId="77777777" w:rsidR="0029320E" w:rsidRPr="00DB4601" w:rsidRDefault="0029320E" w:rsidP="0029320E">
      <w:pPr>
        <w:numPr>
          <w:ilvl w:val="0"/>
          <w:numId w:val="5"/>
        </w:numPr>
        <w:spacing w:before="0" w:after="200" w:line="276" w:lineRule="auto"/>
        <w:contextualSpacing/>
        <w:rPr>
          <w:strike/>
          <w:szCs w:val="22"/>
        </w:rPr>
      </w:pPr>
      <w:r w:rsidRPr="0029320E">
        <w:rPr>
          <w:szCs w:val="22"/>
        </w:rPr>
        <w:t xml:space="preserve">Hindamine toimub kahes etapis, </w:t>
      </w:r>
      <w:r w:rsidRPr="00DB4601">
        <w:rPr>
          <w:strike/>
          <w:szCs w:val="22"/>
        </w:rPr>
        <w:t>millest esimese etapi moodustab elektrooniline eelhindamine</w:t>
      </w:r>
    </w:p>
    <w:p w14:paraId="07CF2987" w14:textId="77777777" w:rsidR="0029320E" w:rsidRDefault="0029320E" w:rsidP="0029320E">
      <w:pPr>
        <w:numPr>
          <w:ilvl w:val="0"/>
          <w:numId w:val="5"/>
        </w:numPr>
        <w:spacing w:before="0" w:after="200" w:line="276" w:lineRule="auto"/>
        <w:contextualSpacing/>
        <w:rPr>
          <w:szCs w:val="22"/>
        </w:rPr>
      </w:pPr>
      <w:r w:rsidRPr="00DA5430">
        <w:rPr>
          <w:szCs w:val="22"/>
        </w:rPr>
        <w:t>Hindamiskomisjoni töövormiks on koosolek, mis protokollitakse.</w:t>
      </w:r>
    </w:p>
    <w:p w14:paraId="3178E354" w14:textId="77777777" w:rsidR="0029320E" w:rsidRDefault="0029320E" w:rsidP="0029320E">
      <w:pPr>
        <w:spacing w:before="0" w:after="200" w:line="276" w:lineRule="auto"/>
        <w:contextualSpacing/>
        <w:rPr>
          <w:szCs w:val="22"/>
        </w:rPr>
      </w:pPr>
    </w:p>
    <w:p w14:paraId="05B5EBB4" w14:textId="77777777" w:rsidR="0029320E" w:rsidRDefault="0029320E" w:rsidP="0029320E">
      <w:pPr>
        <w:spacing w:before="0" w:after="200" w:line="276" w:lineRule="auto"/>
        <w:jc w:val="left"/>
        <w:rPr>
          <w:b/>
          <w:szCs w:val="22"/>
        </w:rPr>
      </w:pPr>
      <w:r w:rsidRPr="00F651DD">
        <w:rPr>
          <w:b/>
          <w:szCs w:val="22"/>
        </w:rPr>
        <w:t>Hindamise skeem</w:t>
      </w:r>
      <w:r>
        <w:rPr>
          <w:b/>
          <w:szCs w:val="22"/>
        </w:rPr>
        <w:t xml:space="preserve"> (lk60)</w:t>
      </w:r>
    </w:p>
    <w:p w14:paraId="2F20183B" w14:textId="77777777" w:rsidR="0029320E" w:rsidRDefault="0029320E" w:rsidP="0029320E">
      <w:pPr>
        <w:spacing w:before="0" w:after="200" w:line="276" w:lineRule="auto"/>
        <w:jc w:val="left"/>
        <w:rPr>
          <w:szCs w:val="22"/>
        </w:rPr>
      </w:pPr>
      <w:r>
        <w:rPr>
          <w:b/>
          <w:szCs w:val="22"/>
        </w:rPr>
        <w:t xml:space="preserve">Eelhindamine: </w:t>
      </w:r>
      <w:r w:rsidRPr="00F5791E">
        <w:rPr>
          <w:szCs w:val="22"/>
        </w:rPr>
        <w:t>Hindamiskomisjoni liikmed saavad hindamiseks tehnilise kontrolli läb</w:t>
      </w:r>
      <w:r>
        <w:rPr>
          <w:szCs w:val="22"/>
        </w:rPr>
        <w:t xml:space="preserve">inud taotlused elektrooniliselt </w:t>
      </w:r>
      <w:proofErr w:type="spellStart"/>
      <w:r>
        <w:rPr>
          <w:color w:val="FF0000"/>
          <w:szCs w:val="22"/>
        </w:rPr>
        <w:t>e-pria</w:t>
      </w:r>
      <w:proofErr w:type="spellEnd"/>
      <w:r>
        <w:rPr>
          <w:color w:val="FF0000"/>
          <w:szCs w:val="22"/>
        </w:rPr>
        <w:t xml:space="preserve"> kaudu</w:t>
      </w:r>
      <w:r w:rsidRPr="00F5791E">
        <w:rPr>
          <w:szCs w:val="22"/>
        </w:rPr>
        <w:t xml:space="preserve"> Huvide konflikti korral hindamiskomisjoni liikmed taandavad ennast projektitaotluste tegevussuuna hindamisest.</w:t>
      </w:r>
    </w:p>
    <w:p w14:paraId="7D4E5FFA" w14:textId="77777777" w:rsidR="0029320E" w:rsidRPr="00F651DD" w:rsidRDefault="0029320E" w:rsidP="0029320E">
      <w:pPr>
        <w:spacing w:before="0" w:after="200" w:line="276" w:lineRule="auto"/>
        <w:jc w:val="left"/>
        <w:rPr>
          <w:b/>
          <w:szCs w:val="22"/>
        </w:rPr>
      </w:pPr>
      <w:r w:rsidRPr="0029320E">
        <w:rPr>
          <w:b/>
          <w:szCs w:val="22"/>
        </w:rPr>
        <w:t>Hindamiskoosolek:</w:t>
      </w:r>
      <w:r>
        <w:rPr>
          <w:szCs w:val="22"/>
        </w:rPr>
        <w:t xml:space="preserve"> </w:t>
      </w:r>
      <w:r w:rsidRPr="00F651DD">
        <w:rPr>
          <w:szCs w:val="22"/>
        </w:rPr>
        <w:t xml:space="preserve">Hindamiskomisjoni liikmed peavad hindamiskoosoleku, kus antakse taotlustele hinded </w:t>
      </w:r>
      <w:r w:rsidRPr="00856031">
        <w:rPr>
          <w:color w:val="FF0000"/>
          <w:szCs w:val="22"/>
        </w:rPr>
        <w:t>e-</w:t>
      </w:r>
      <w:proofErr w:type="spellStart"/>
      <w:r w:rsidRPr="00856031">
        <w:rPr>
          <w:color w:val="FF0000"/>
          <w:szCs w:val="22"/>
        </w:rPr>
        <w:t>prias</w:t>
      </w:r>
      <w:proofErr w:type="spellEnd"/>
      <w:r w:rsidRPr="00856031">
        <w:rPr>
          <w:color w:val="FF0000"/>
          <w:szCs w:val="22"/>
        </w:rPr>
        <w:t xml:space="preserve"> </w:t>
      </w:r>
      <w:r w:rsidRPr="00F651DD">
        <w:rPr>
          <w:szCs w:val="22"/>
        </w:rPr>
        <w:t>ning arutatakse projektitaotlustele antud hinnete põhjal moodustunud pingerida projektide kaupa läbi ja kinnitatakse paremusjärjestus.</w:t>
      </w:r>
    </w:p>
    <w:p w14:paraId="42C50423" w14:textId="77777777" w:rsidR="0029320E" w:rsidRDefault="0029320E" w:rsidP="0029320E">
      <w:pPr>
        <w:spacing w:before="0" w:after="200" w:line="276" w:lineRule="auto"/>
        <w:contextualSpacing/>
        <w:rPr>
          <w:szCs w:val="22"/>
        </w:rPr>
      </w:pPr>
    </w:p>
    <w:p w14:paraId="1B3C988C" w14:textId="77777777" w:rsidR="0029320E" w:rsidRPr="0029320E" w:rsidRDefault="0029320E" w:rsidP="0029320E"/>
    <w:p w14:paraId="7EB4E090" w14:textId="77777777" w:rsidR="0029320E" w:rsidRDefault="0029320E" w:rsidP="000606EE">
      <w:pPr>
        <w:spacing w:before="0" w:after="200" w:line="276" w:lineRule="auto"/>
        <w:jc w:val="left"/>
        <w:rPr>
          <w:szCs w:val="22"/>
        </w:rPr>
      </w:pPr>
    </w:p>
    <w:p w14:paraId="7C17ECDE" w14:textId="77777777" w:rsidR="00E1679F" w:rsidRDefault="00E1679F" w:rsidP="000606EE">
      <w:pPr>
        <w:spacing w:before="0" w:after="200" w:line="276" w:lineRule="auto"/>
        <w:jc w:val="left"/>
        <w:rPr>
          <w:szCs w:val="22"/>
        </w:rPr>
      </w:pPr>
      <w:bookmarkStart w:id="2" w:name="_GoBack"/>
      <w:bookmarkEnd w:id="2"/>
    </w:p>
    <w:p w14:paraId="3CE70AE4" w14:textId="77777777" w:rsidR="00E1679F" w:rsidRDefault="00E1679F" w:rsidP="000606EE">
      <w:pPr>
        <w:spacing w:before="0" w:after="200" w:line="276" w:lineRule="auto"/>
        <w:jc w:val="left"/>
        <w:rPr>
          <w:szCs w:val="22"/>
        </w:rPr>
      </w:pPr>
    </w:p>
    <w:p w14:paraId="0699AB9E" w14:textId="77777777" w:rsidR="00C77863" w:rsidRDefault="00C77863" w:rsidP="000606EE">
      <w:pPr>
        <w:spacing w:before="0" w:after="200" w:line="276" w:lineRule="auto"/>
        <w:jc w:val="left"/>
        <w:rPr>
          <w:szCs w:val="22"/>
        </w:rPr>
      </w:pPr>
    </w:p>
    <w:p w14:paraId="50597742" w14:textId="77777777" w:rsidR="00C77863" w:rsidRDefault="00C77863" w:rsidP="00C77863">
      <w:pPr>
        <w:pStyle w:val="NormalWeb"/>
      </w:pPr>
      <w:r>
        <w:rPr>
          <w:sz w:val="36"/>
          <w:szCs w:val="36"/>
        </w:rPr>
        <w:t xml:space="preserve">HINDAMISKOMISJONI MOODUSTAMINE JA TÖÖKORD </w:t>
      </w:r>
    </w:p>
    <w:p w14:paraId="1340F4EC" w14:textId="77777777" w:rsidR="00D46C6D" w:rsidRDefault="00D46C6D" w:rsidP="00D46C6D">
      <w:pPr>
        <w:pStyle w:val="NormalWeb"/>
        <w:ind w:left="720"/>
      </w:pPr>
      <w:proofErr w:type="gramStart"/>
      <w:r>
        <w:t>2.6  </w:t>
      </w:r>
      <w:proofErr w:type="spellStart"/>
      <w:r>
        <w:t>Enne</w:t>
      </w:r>
      <w:proofErr w:type="spellEnd"/>
      <w:proofErr w:type="gramEnd"/>
      <w:r>
        <w:t xml:space="preserve"> </w:t>
      </w:r>
      <w:proofErr w:type="spellStart"/>
      <w:r>
        <w:t>vahehindamist</w:t>
      </w:r>
      <w:proofErr w:type="spellEnd"/>
      <w:r>
        <w:t xml:space="preserve"> ja </w:t>
      </w:r>
      <w:proofErr w:type="spellStart"/>
      <w:r>
        <w:t>projektitoetuse</w:t>
      </w:r>
      <w:proofErr w:type="spellEnd"/>
      <w:r>
        <w:t xml:space="preserve"> </w:t>
      </w:r>
      <w:proofErr w:type="spellStart"/>
      <w:r>
        <w:t>taotluste</w:t>
      </w:r>
      <w:proofErr w:type="spellEnd"/>
      <w:r>
        <w:t xml:space="preserve"> </w:t>
      </w:r>
      <w:proofErr w:type="spellStart"/>
      <w:r>
        <w:t>hindama</w:t>
      </w:r>
      <w:proofErr w:type="spellEnd"/>
      <w:r>
        <w:t xml:space="preserve"> </w:t>
      </w:r>
      <w:proofErr w:type="spellStart"/>
      <w:r>
        <w:t>asumist</w:t>
      </w:r>
      <w:proofErr w:type="spellEnd"/>
      <w:r>
        <w:t xml:space="preserve"> </w:t>
      </w:r>
      <w:proofErr w:type="spellStart"/>
      <w:r>
        <w:t>esitavad</w:t>
      </w:r>
      <w:proofErr w:type="spellEnd"/>
      <w:r>
        <w:t xml:space="preserve">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deklaratsiooni</w:t>
      </w:r>
      <w:proofErr w:type="spellEnd"/>
      <w:r>
        <w:t xml:space="preserve"> </w:t>
      </w:r>
      <w:proofErr w:type="spellStart"/>
      <w:r>
        <w:t>huvide</w:t>
      </w:r>
      <w:proofErr w:type="spellEnd"/>
      <w:r>
        <w:t xml:space="preserve"> </w:t>
      </w:r>
      <w:proofErr w:type="spellStart"/>
      <w:r>
        <w:t>konflikti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„</w:t>
      </w:r>
      <w:proofErr w:type="spellStart"/>
      <w:r>
        <w:t>Tulumaksuseaduse</w:t>
      </w:r>
      <w:proofErr w:type="spellEnd"/>
      <w:r>
        <w:t xml:space="preserve">” § 8 </w:t>
      </w:r>
      <w:proofErr w:type="spellStart"/>
      <w:r>
        <w:t>tähenduses</w:t>
      </w:r>
      <w:proofErr w:type="spellEnd"/>
      <w:r>
        <w:t xml:space="preserve">. </w:t>
      </w:r>
    </w:p>
    <w:p w14:paraId="3E00C253" w14:textId="77777777" w:rsidR="00C85BB9" w:rsidRDefault="00D46C6D" w:rsidP="00C85BB9">
      <w:pPr>
        <w:pStyle w:val="NormalWeb"/>
        <w:ind w:left="720"/>
      </w:pPr>
      <w:proofErr w:type="spellStart"/>
      <w:r>
        <w:t>Uus</w:t>
      </w:r>
      <w:proofErr w:type="spellEnd"/>
      <w:r>
        <w:t xml:space="preserve"> </w:t>
      </w:r>
      <w:proofErr w:type="spellStart"/>
      <w:r>
        <w:t>sõnastus</w:t>
      </w:r>
      <w:proofErr w:type="spellEnd"/>
      <w:r>
        <w:t xml:space="preserve"> </w:t>
      </w:r>
      <w:r w:rsidR="00C85BB9">
        <w:t>–</w:t>
      </w:r>
      <w:r>
        <w:t xml:space="preserve"> </w:t>
      </w:r>
      <w:proofErr w:type="gramStart"/>
      <w:r w:rsidR="00514599" w:rsidRPr="00C85BB9">
        <w:t>2.6  </w:t>
      </w:r>
      <w:proofErr w:type="spellStart"/>
      <w:r w:rsidR="00514599" w:rsidRPr="00C85BB9">
        <w:t>Enne</w:t>
      </w:r>
      <w:proofErr w:type="spellEnd"/>
      <w:proofErr w:type="gramEnd"/>
      <w:r w:rsidR="00514599" w:rsidRPr="00C85BB9">
        <w:t xml:space="preserve"> </w:t>
      </w:r>
      <w:proofErr w:type="spellStart"/>
      <w:r w:rsidR="00514599" w:rsidRPr="00C85BB9">
        <w:t>vahehindamist</w:t>
      </w:r>
      <w:proofErr w:type="spellEnd"/>
      <w:r w:rsidR="00514599" w:rsidRPr="00C85BB9">
        <w:t xml:space="preserve"> ja </w:t>
      </w:r>
      <w:proofErr w:type="spellStart"/>
      <w:r w:rsidR="00514599" w:rsidRPr="00C85BB9">
        <w:t>projektitoetuse</w:t>
      </w:r>
      <w:proofErr w:type="spellEnd"/>
      <w:r w:rsidR="00514599" w:rsidRPr="00C85BB9">
        <w:t xml:space="preserve"> </w:t>
      </w:r>
      <w:proofErr w:type="spellStart"/>
      <w:r w:rsidR="00514599" w:rsidRPr="00C85BB9">
        <w:t>taotluste</w:t>
      </w:r>
      <w:proofErr w:type="spellEnd"/>
      <w:r w:rsidR="00514599" w:rsidRPr="00C85BB9">
        <w:t xml:space="preserve"> </w:t>
      </w:r>
      <w:proofErr w:type="spellStart"/>
      <w:r w:rsidR="00514599" w:rsidRPr="00C85BB9">
        <w:t>hindama</w:t>
      </w:r>
      <w:proofErr w:type="spellEnd"/>
      <w:r w:rsidR="00514599" w:rsidRPr="00C85BB9">
        <w:t xml:space="preserve"> </w:t>
      </w:r>
      <w:proofErr w:type="spellStart"/>
      <w:r w:rsidR="00514599" w:rsidRPr="00C85BB9">
        <w:t>asumist</w:t>
      </w:r>
      <w:proofErr w:type="spellEnd"/>
      <w:r w:rsidR="00514599" w:rsidRPr="00C85BB9">
        <w:t xml:space="preserve"> </w:t>
      </w:r>
      <w:proofErr w:type="spellStart"/>
      <w:r w:rsidR="00514599" w:rsidRPr="00C85BB9">
        <w:t>esitavad</w:t>
      </w:r>
      <w:proofErr w:type="spellEnd"/>
      <w:r w:rsidR="00514599" w:rsidRPr="00C85BB9">
        <w:t xml:space="preserve"> </w:t>
      </w:r>
      <w:proofErr w:type="spellStart"/>
      <w:r w:rsidR="00514599" w:rsidRPr="00C85BB9">
        <w:t>komisjoni</w:t>
      </w:r>
      <w:proofErr w:type="spellEnd"/>
      <w:r w:rsidR="00514599" w:rsidRPr="00C85BB9">
        <w:t xml:space="preserve"> </w:t>
      </w:r>
      <w:proofErr w:type="spellStart"/>
      <w:r w:rsidR="00514599" w:rsidRPr="00C85BB9">
        <w:t>liikmed</w:t>
      </w:r>
      <w:proofErr w:type="spellEnd"/>
      <w:r w:rsidR="00514599" w:rsidRPr="00C85BB9">
        <w:t xml:space="preserve"> </w:t>
      </w:r>
      <w:proofErr w:type="spellStart"/>
      <w:r w:rsidR="00514599" w:rsidRPr="00C85BB9">
        <w:t>deklaratsiooni</w:t>
      </w:r>
      <w:proofErr w:type="spellEnd"/>
      <w:r w:rsidR="00514599" w:rsidRPr="00C85BB9">
        <w:t xml:space="preserve"> </w:t>
      </w:r>
      <w:proofErr w:type="spellStart"/>
      <w:r w:rsidR="00514599" w:rsidRPr="00C85BB9">
        <w:t>huvide</w:t>
      </w:r>
      <w:proofErr w:type="spellEnd"/>
      <w:r w:rsidR="00514599" w:rsidRPr="00C85BB9">
        <w:t xml:space="preserve"> </w:t>
      </w:r>
      <w:proofErr w:type="spellStart"/>
      <w:r w:rsidR="00514599" w:rsidRPr="00C85BB9">
        <w:t>konflikti</w:t>
      </w:r>
      <w:proofErr w:type="spellEnd"/>
      <w:r w:rsidR="00514599" w:rsidRPr="00C85BB9">
        <w:t xml:space="preserve"> </w:t>
      </w:r>
      <w:proofErr w:type="spellStart"/>
      <w:r w:rsidR="00514599" w:rsidRPr="00C85BB9">
        <w:t>kohta</w:t>
      </w:r>
      <w:proofErr w:type="spellEnd"/>
      <w:r w:rsidR="00514599" w:rsidRPr="00C85BB9">
        <w:t xml:space="preserve"> „</w:t>
      </w:r>
      <w:proofErr w:type="spellStart"/>
      <w:r w:rsidR="00514599" w:rsidRPr="00C85BB9">
        <w:t>Ha</w:t>
      </w:r>
      <w:r w:rsidR="00514599" w:rsidRPr="00C85BB9">
        <w:t>ldusmenetluse</w:t>
      </w:r>
      <w:proofErr w:type="spellEnd"/>
      <w:r w:rsidR="00514599" w:rsidRPr="00C85BB9">
        <w:t xml:space="preserve"> </w:t>
      </w:r>
      <w:proofErr w:type="spellStart"/>
      <w:r w:rsidR="00514599" w:rsidRPr="00C85BB9">
        <w:t>seaduse</w:t>
      </w:r>
      <w:proofErr w:type="spellEnd"/>
      <w:r w:rsidR="00514599" w:rsidRPr="00C85BB9">
        <w:t xml:space="preserve">” § 10 </w:t>
      </w:r>
      <w:proofErr w:type="spellStart"/>
      <w:r w:rsidR="00514599" w:rsidRPr="00C85BB9">
        <w:t>tähenduses</w:t>
      </w:r>
      <w:proofErr w:type="spellEnd"/>
      <w:r w:rsidR="00514599" w:rsidRPr="00C85BB9">
        <w:t xml:space="preserve">. </w:t>
      </w:r>
    </w:p>
    <w:p w14:paraId="3E2BB3A8" w14:textId="77777777" w:rsidR="00C85BB9" w:rsidRDefault="00C85BB9" w:rsidP="00C85BB9">
      <w:pPr>
        <w:pStyle w:val="NormalWeb"/>
        <w:ind w:left="720"/>
      </w:pPr>
      <w:proofErr w:type="gramStart"/>
      <w:r>
        <w:t>4.2  </w:t>
      </w:r>
      <w:proofErr w:type="spellStart"/>
      <w:r>
        <w:t>Hindamiskomisjoni</w:t>
      </w:r>
      <w:proofErr w:type="spellEnd"/>
      <w:proofErr w:type="gramEnd"/>
      <w:r>
        <w:t xml:space="preserve"> </w:t>
      </w:r>
      <w:proofErr w:type="spellStart"/>
      <w:r>
        <w:t>liikmed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tasu</w:t>
      </w:r>
      <w:proofErr w:type="spellEnd"/>
      <w:r>
        <w:t xml:space="preserve"> </w:t>
      </w:r>
      <w:proofErr w:type="spellStart"/>
      <w:r>
        <w:t>projektitaotluste</w:t>
      </w:r>
      <w:proofErr w:type="spellEnd"/>
      <w:r>
        <w:t xml:space="preserve"> </w:t>
      </w:r>
      <w:proofErr w:type="spellStart"/>
      <w:r>
        <w:t>hindamisel</w:t>
      </w:r>
      <w:proofErr w:type="spellEnd"/>
      <w:r>
        <w:t xml:space="preserve"> </w:t>
      </w:r>
      <w:proofErr w:type="spellStart"/>
      <w:r>
        <w:t>osalemise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80 </w:t>
      </w:r>
      <w:proofErr w:type="spellStart"/>
      <w:r>
        <w:t>eurot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) </w:t>
      </w:r>
      <w:proofErr w:type="spellStart"/>
      <w:r>
        <w:t>vooru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ja </w:t>
      </w:r>
      <w:proofErr w:type="spellStart"/>
      <w:r>
        <w:t>isikliku</w:t>
      </w:r>
      <w:proofErr w:type="spellEnd"/>
      <w:r>
        <w:t xml:space="preserve"> </w:t>
      </w:r>
      <w:proofErr w:type="spellStart"/>
      <w:r>
        <w:t>sõiduauto</w:t>
      </w:r>
      <w:proofErr w:type="spellEnd"/>
      <w:r>
        <w:t xml:space="preserve"> </w:t>
      </w:r>
      <w:proofErr w:type="spellStart"/>
      <w:r>
        <w:t>või</w:t>
      </w:r>
      <w:proofErr w:type="spellEnd"/>
      <w:r>
        <w:t xml:space="preserve"> </w:t>
      </w:r>
      <w:proofErr w:type="spellStart"/>
      <w:r>
        <w:t>ühistranspordi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sõidukompensatsiooni</w:t>
      </w:r>
      <w:proofErr w:type="spellEnd"/>
      <w:r>
        <w:t xml:space="preserve">. </w:t>
      </w:r>
    </w:p>
    <w:p w14:paraId="2D981524" w14:textId="77777777" w:rsidR="00C85BB9" w:rsidRDefault="00C85BB9" w:rsidP="00C85BB9">
      <w:pPr>
        <w:pStyle w:val="NormalWeb"/>
        <w:ind w:left="720"/>
      </w:pPr>
      <w:proofErr w:type="spellStart"/>
      <w:r>
        <w:t>Uus</w:t>
      </w:r>
      <w:proofErr w:type="spellEnd"/>
      <w:r>
        <w:t xml:space="preserve"> </w:t>
      </w:r>
      <w:proofErr w:type="spellStart"/>
      <w:r>
        <w:t>sõnastus</w:t>
      </w:r>
      <w:proofErr w:type="spellEnd"/>
      <w:r>
        <w:t xml:space="preserve"> - </w:t>
      </w:r>
      <w:r w:rsidR="00D34807" w:rsidRPr="00D34807">
        <w:rPr>
          <w:lang w:val="et-EE"/>
        </w:rPr>
        <w:t xml:space="preserve">Hindamiskomisjoni liikmed saavad tasu projektitaotluste hindamisel osalemise eest 160 eurot (neto) vooru eest ja isikliku </w:t>
      </w:r>
      <w:proofErr w:type="spellStart"/>
      <w:r w:rsidR="00D34807" w:rsidRPr="00D34807">
        <w:rPr>
          <w:lang w:val="et-EE"/>
        </w:rPr>
        <w:t>sõiduauto</w:t>
      </w:r>
      <w:proofErr w:type="spellEnd"/>
      <w:r w:rsidR="00D34807" w:rsidRPr="00D34807">
        <w:rPr>
          <w:lang w:val="et-EE"/>
        </w:rPr>
        <w:t xml:space="preserve"> </w:t>
      </w:r>
      <w:proofErr w:type="spellStart"/>
      <w:r w:rsidR="00D34807" w:rsidRPr="00D34807">
        <w:rPr>
          <w:lang w:val="et-EE"/>
        </w:rPr>
        <w:t>või</w:t>
      </w:r>
      <w:proofErr w:type="spellEnd"/>
      <w:r w:rsidR="00D34807" w:rsidRPr="00D34807">
        <w:rPr>
          <w:lang w:val="et-EE"/>
        </w:rPr>
        <w:t xml:space="preserve"> </w:t>
      </w:r>
      <w:proofErr w:type="spellStart"/>
      <w:r w:rsidR="00D34807" w:rsidRPr="00D34807">
        <w:rPr>
          <w:lang w:val="et-EE"/>
        </w:rPr>
        <w:t>ühistranspordi</w:t>
      </w:r>
      <w:proofErr w:type="spellEnd"/>
      <w:r w:rsidR="00D34807" w:rsidRPr="00D34807">
        <w:rPr>
          <w:lang w:val="et-EE"/>
        </w:rPr>
        <w:t xml:space="preserve"> kasutamise korral </w:t>
      </w:r>
      <w:proofErr w:type="spellStart"/>
      <w:r w:rsidR="00D34807" w:rsidRPr="00D34807">
        <w:rPr>
          <w:lang w:val="et-EE"/>
        </w:rPr>
        <w:t>sõidukompensatsiooni</w:t>
      </w:r>
      <w:proofErr w:type="spellEnd"/>
    </w:p>
    <w:p w14:paraId="3E6FC924" w14:textId="77777777" w:rsidR="00C85BB9" w:rsidRDefault="00C85BB9" w:rsidP="00C85BB9">
      <w:pPr>
        <w:pStyle w:val="NormalWeb"/>
        <w:ind w:left="720"/>
      </w:pPr>
      <w:proofErr w:type="gramStart"/>
      <w:r>
        <w:t>4.3  </w:t>
      </w:r>
      <w:proofErr w:type="spellStart"/>
      <w:r>
        <w:t>Hindamiskomisjoni</w:t>
      </w:r>
      <w:proofErr w:type="spellEnd"/>
      <w:proofErr w:type="gramEnd"/>
      <w:r>
        <w:t xml:space="preserve"> </w:t>
      </w:r>
      <w:proofErr w:type="spellStart"/>
      <w:r>
        <w:t>esimees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tasu</w:t>
      </w:r>
      <w:proofErr w:type="spellEnd"/>
      <w:r>
        <w:t xml:space="preserve"> </w:t>
      </w:r>
      <w:proofErr w:type="spellStart"/>
      <w:r>
        <w:t>komisjoni</w:t>
      </w:r>
      <w:proofErr w:type="spellEnd"/>
      <w:r>
        <w:t xml:space="preserve"> </w:t>
      </w:r>
      <w:proofErr w:type="spellStart"/>
      <w:r>
        <w:t>töo</w:t>
      </w:r>
      <w:proofErr w:type="spellEnd"/>
      <w:r>
        <w:t xml:space="preserve">̈ </w:t>
      </w:r>
      <w:proofErr w:type="spellStart"/>
      <w:r>
        <w:t>juhtimise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120 </w:t>
      </w:r>
      <w:proofErr w:type="spellStart"/>
      <w:r>
        <w:t>eurot</w:t>
      </w:r>
      <w:proofErr w:type="spellEnd"/>
      <w:r>
        <w:t xml:space="preserve"> (</w:t>
      </w:r>
      <w:proofErr w:type="spellStart"/>
      <w:r>
        <w:t>neto</w:t>
      </w:r>
      <w:proofErr w:type="spellEnd"/>
      <w:r>
        <w:t xml:space="preserve">) </w:t>
      </w:r>
      <w:proofErr w:type="spellStart"/>
      <w:r>
        <w:t>vooru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ja </w:t>
      </w:r>
      <w:proofErr w:type="spellStart"/>
      <w:r>
        <w:t>isikliku</w:t>
      </w:r>
      <w:proofErr w:type="spellEnd"/>
      <w:r>
        <w:t xml:space="preserve"> </w:t>
      </w:r>
      <w:proofErr w:type="spellStart"/>
      <w:r>
        <w:t>sõiduauto</w:t>
      </w:r>
      <w:proofErr w:type="spellEnd"/>
      <w:r>
        <w:t xml:space="preserve"> </w:t>
      </w:r>
      <w:proofErr w:type="spellStart"/>
      <w:r>
        <w:t>või</w:t>
      </w:r>
      <w:proofErr w:type="spellEnd"/>
      <w:r>
        <w:t xml:space="preserve"> </w:t>
      </w:r>
      <w:proofErr w:type="spellStart"/>
      <w:r>
        <w:t>ühistranspordi</w:t>
      </w:r>
      <w:proofErr w:type="spellEnd"/>
      <w:r>
        <w:t xml:space="preserve"> </w:t>
      </w:r>
      <w:proofErr w:type="spellStart"/>
      <w:r>
        <w:t>kasutamise</w:t>
      </w:r>
      <w:proofErr w:type="spellEnd"/>
      <w:r>
        <w:t xml:space="preserve"> </w:t>
      </w:r>
      <w:proofErr w:type="spellStart"/>
      <w:r>
        <w:t>korral</w:t>
      </w:r>
      <w:proofErr w:type="spellEnd"/>
      <w:r>
        <w:t xml:space="preserve"> </w:t>
      </w:r>
      <w:proofErr w:type="spellStart"/>
      <w:r>
        <w:t>sõidukompensatsiooni</w:t>
      </w:r>
      <w:proofErr w:type="spellEnd"/>
      <w:r>
        <w:t xml:space="preserve">. </w:t>
      </w:r>
    </w:p>
    <w:p w14:paraId="6184335B" w14:textId="77777777" w:rsidR="00D34807" w:rsidRPr="00D34807" w:rsidRDefault="00C85BB9" w:rsidP="00D34807">
      <w:pPr>
        <w:pStyle w:val="NormalWeb"/>
        <w:ind w:left="720"/>
      </w:pPr>
      <w:proofErr w:type="spellStart"/>
      <w:r>
        <w:t>Uus</w:t>
      </w:r>
      <w:proofErr w:type="spellEnd"/>
      <w:r>
        <w:t xml:space="preserve"> </w:t>
      </w:r>
      <w:proofErr w:type="spellStart"/>
      <w:r>
        <w:t>sõnastus</w:t>
      </w:r>
      <w:proofErr w:type="spellEnd"/>
      <w:r>
        <w:t xml:space="preserve"> - </w:t>
      </w:r>
      <w:proofErr w:type="spellStart"/>
      <w:r w:rsidR="00D34807" w:rsidRPr="00D34807">
        <w:t>Hindamiskomisjoni</w:t>
      </w:r>
      <w:proofErr w:type="spellEnd"/>
      <w:r w:rsidR="00D34807" w:rsidRPr="00D34807">
        <w:t xml:space="preserve"> </w:t>
      </w:r>
      <w:proofErr w:type="spellStart"/>
      <w:r w:rsidR="00D34807" w:rsidRPr="00D34807">
        <w:t>esimees</w:t>
      </w:r>
      <w:proofErr w:type="spellEnd"/>
      <w:r w:rsidR="00D34807" w:rsidRPr="00D34807">
        <w:t xml:space="preserve"> </w:t>
      </w:r>
      <w:proofErr w:type="spellStart"/>
      <w:r w:rsidR="00D34807" w:rsidRPr="00D34807">
        <w:t>saab</w:t>
      </w:r>
      <w:proofErr w:type="spellEnd"/>
      <w:r w:rsidR="00D34807" w:rsidRPr="00D34807">
        <w:t xml:space="preserve"> </w:t>
      </w:r>
      <w:proofErr w:type="spellStart"/>
      <w:r w:rsidR="00D34807" w:rsidRPr="00D34807">
        <w:t>tasu</w:t>
      </w:r>
      <w:proofErr w:type="spellEnd"/>
      <w:r w:rsidR="00D34807" w:rsidRPr="00D34807">
        <w:t xml:space="preserve"> </w:t>
      </w:r>
      <w:proofErr w:type="spellStart"/>
      <w:r w:rsidR="00D34807" w:rsidRPr="00D34807">
        <w:t>komisjoni</w:t>
      </w:r>
      <w:proofErr w:type="spellEnd"/>
      <w:r w:rsidR="00D34807" w:rsidRPr="00D34807">
        <w:t xml:space="preserve"> </w:t>
      </w:r>
      <w:proofErr w:type="spellStart"/>
      <w:r w:rsidR="00D34807" w:rsidRPr="00D34807">
        <w:t>töo</w:t>
      </w:r>
      <w:proofErr w:type="spellEnd"/>
      <w:r w:rsidR="00D34807" w:rsidRPr="00D34807">
        <w:t xml:space="preserve">̈ </w:t>
      </w:r>
      <w:proofErr w:type="spellStart"/>
      <w:r w:rsidR="00D34807" w:rsidRPr="00D34807">
        <w:t>juhtimise</w:t>
      </w:r>
      <w:proofErr w:type="spellEnd"/>
      <w:r w:rsidR="00D34807" w:rsidRPr="00D34807">
        <w:t xml:space="preserve"> </w:t>
      </w:r>
      <w:proofErr w:type="spellStart"/>
      <w:r w:rsidR="00D34807" w:rsidRPr="00D34807">
        <w:t>eest</w:t>
      </w:r>
      <w:proofErr w:type="spellEnd"/>
      <w:r w:rsidR="00D34807" w:rsidRPr="00D34807">
        <w:t xml:space="preserve"> 200 </w:t>
      </w:r>
      <w:proofErr w:type="spellStart"/>
      <w:r w:rsidR="00D34807" w:rsidRPr="00D34807">
        <w:t>eurot</w:t>
      </w:r>
      <w:proofErr w:type="spellEnd"/>
      <w:r w:rsidR="00D34807" w:rsidRPr="00D34807">
        <w:t xml:space="preserve"> (</w:t>
      </w:r>
      <w:proofErr w:type="spellStart"/>
      <w:r w:rsidR="00D34807" w:rsidRPr="00D34807">
        <w:t>neto</w:t>
      </w:r>
      <w:proofErr w:type="spellEnd"/>
      <w:r w:rsidR="00D34807" w:rsidRPr="00D34807">
        <w:t xml:space="preserve">) </w:t>
      </w:r>
      <w:proofErr w:type="spellStart"/>
      <w:r w:rsidR="00D34807" w:rsidRPr="00D34807">
        <w:t>vooru</w:t>
      </w:r>
      <w:proofErr w:type="spellEnd"/>
      <w:r w:rsidR="00D34807" w:rsidRPr="00D34807">
        <w:t xml:space="preserve"> </w:t>
      </w:r>
      <w:proofErr w:type="spellStart"/>
      <w:r w:rsidR="00D34807" w:rsidRPr="00D34807">
        <w:t>eest</w:t>
      </w:r>
      <w:proofErr w:type="spellEnd"/>
      <w:r w:rsidR="00D34807" w:rsidRPr="00D34807">
        <w:t xml:space="preserve"> ja </w:t>
      </w:r>
      <w:proofErr w:type="spellStart"/>
      <w:r w:rsidR="00D34807" w:rsidRPr="00D34807">
        <w:t>isikliku</w:t>
      </w:r>
      <w:proofErr w:type="spellEnd"/>
      <w:r w:rsidR="00D34807" w:rsidRPr="00D34807">
        <w:t xml:space="preserve"> </w:t>
      </w:r>
      <w:proofErr w:type="spellStart"/>
      <w:r w:rsidR="00D34807" w:rsidRPr="00D34807">
        <w:t>sõiduauto</w:t>
      </w:r>
      <w:proofErr w:type="spellEnd"/>
      <w:r w:rsidR="00D34807" w:rsidRPr="00D34807">
        <w:t xml:space="preserve"> </w:t>
      </w:r>
      <w:proofErr w:type="spellStart"/>
      <w:r w:rsidR="00D34807" w:rsidRPr="00D34807">
        <w:t>või</w:t>
      </w:r>
      <w:proofErr w:type="spellEnd"/>
      <w:r w:rsidR="00D34807" w:rsidRPr="00D34807">
        <w:t xml:space="preserve"> </w:t>
      </w:r>
      <w:proofErr w:type="spellStart"/>
      <w:r w:rsidR="00D34807" w:rsidRPr="00D34807">
        <w:t>ühistranspordi</w:t>
      </w:r>
      <w:proofErr w:type="spellEnd"/>
      <w:r w:rsidR="00D34807" w:rsidRPr="00D34807">
        <w:t xml:space="preserve"> </w:t>
      </w:r>
      <w:proofErr w:type="spellStart"/>
      <w:r w:rsidR="00D34807" w:rsidRPr="00D34807">
        <w:t>kasutamise</w:t>
      </w:r>
      <w:proofErr w:type="spellEnd"/>
      <w:r w:rsidR="00D34807" w:rsidRPr="00D34807">
        <w:t xml:space="preserve"> </w:t>
      </w:r>
      <w:proofErr w:type="spellStart"/>
      <w:r w:rsidR="00D34807" w:rsidRPr="00D34807">
        <w:t>korral</w:t>
      </w:r>
      <w:proofErr w:type="spellEnd"/>
      <w:r w:rsidR="00D34807" w:rsidRPr="00D34807">
        <w:t xml:space="preserve"> </w:t>
      </w:r>
      <w:proofErr w:type="spellStart"/>
      <w:r w:rsidR="00D34807" w:rsidRPr="00D34807">
        <w:t>sõidukompensatsiooni</w:t>
      </w:r>
      <w:proofErr w:type="spellEnd"/>
    </w:p>
    <w:p w14:paraId="27B31CA0" w14:textId="77777777" w:rsidR="00C85BB9" w:rsidRDefault="00C85BB9" w:rsidP="00C85BB9">
      <w:pPr>
        <w:pStyle w:val="NormalWeb"/>
        <w:ind w:left="720"/>
      </w:pPr>
    </w:p>
    <w:p w14:paraId="1D5DF58D" w14:textId="77777777" w:rsidR="00C85BB9" w:rsidRDefault="00C85BB9" w:rsidP="00D46C6D">
      <w:pPr>
        <w:pStyle w:val="NormalWeb"/>
        <w:ind w:left="720"/>
      </w:pPr>
    </w:p>
    <w:p w14:paraId="38A1EA61" w14:textId="77777777" w:rsidR="00C77863" w:rsidRPr="00997DE4" w:rsidRDefault="00C77863" w:rsidP="000606EE">
      <w:pPr>
        <w:spacing w:before="0" w:after="200" w:line="276" w:lineRule="auto"/>
        <w:jc w:val="left"/>
        <w:rPr>
          <w:szCs w:val="22"/>
        </w:rPr>
      </w:pPr>
    </w:p>
    <w:p w14:paraId="36A96202" w14:textId="77777777" w:rsidR="00774F05" w:rsidRDefault="00774F05"/>
    <w:sectPr w:rsidR="00774F05" w:rsidSect="00FB05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DD5"/>
    <w:multiLevelType w:val="hybridMultilevel"/>
    <w:tmpl w:val="75FE1346"/>
    <w:lvl w:ilvl="0" w:tplc="CC848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A6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89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EC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26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122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7CE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A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C5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EB53FE5"/>
    <w:multiLevelType w:val="multilevel"/>
    <w:tmpl w:val="C562C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CE791F"/>
    <w:multiLevelType w:val="multilevel"/>
    <w:tmpl w:val="62FCDE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44546A" w:themeColor="text2"/>
      </w:rPr>
    </w:lvl>
    <w:lvl w:ilvl="1">
      <w:start w:val="1"/>
      <w:numFmt w:val="decimal"/>
      <w:pStyle w:val="Heading2"/>
      <w:lvlText w:val="%1.%2"/>
      <w:lvlJc w:val="left"/>
      <w:pPr>
        <w:ind w:left="3128" w:hanging="576"/>
      </w:pPr>
      <w:rPr>
        <w:color w:val="44546A" w:themeColor="text2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45EF331C"/>
    <w:multiLevelType w:val="multilevel"/>
    <w:tmpl w:val="040ED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43D4E"/>
    <w:multiLevelType w:val="hybridMultilevel"/>
    <w:tmpl w:val="1B6092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EE"/>
    <w:rsid w:val="000606EE"/>
    <w:rsid w:val="0029320E"/>
    <w:rsid w:val="00514599"/>
    <w:rsid w:val="00724232"/>
    <w:rsid w:val="00774F05"/>
    <w:rsid w:val="00C77863"/>
    <w:rsid w:val="00C85BB9"/>
    <w:rsid w:val="00D34807"/>
    <w:rsid w:val="00D46C6D"/>
    <w:rsid w:val="00E1679F"/>
    <w:rsid w:val="00FB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165C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06EE"/>
    <w:pPr>
      <w:spacing w:before="240" w:after="240" w:line="360" w:lineRule="auto"/>
      <w:jc w:val="both"/>
    </w:pPr>
    <w:rPr>
      <w:rFonts w:ascii="Times New Roman" w:eastAsia="Calibri" w:hAnsi="Times New Roman" w:cs="Times New Roman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EE"/>
    <w:pPr>
      <w:keepNext/>
      <w:numPr>
        <w:numId w:val="1"/>
      </w:numPr>
      <w:spacing w:after="60" w:line="480" w:lineRule="auto"/>
      <w:outlineLvl w:val="0"/>
    </w:pPr>
    <w:rPr>
      <w:rFonts w:ascii="Verdana" w:eastAsia="SimSun" w:hAnsi="Verdana" w:cstheme="majorBidi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6EE"/>
    <w:pPr>
      <w:keepNext/>
      <w:numPr>
        <w:ilvl w:val="1"/>
        <w:numId w:val="1"/>
      </w:numPr>
      <w:spacing w:before="480" w:after="100" w:afterAutospacing="1"/>
      <w:jc w:val="center"/>
      <w:outlineLvl w:val="1"/>
    </w:pPr>
    <w:rPr>
      <w:rFonts w:ascii="Verdana" w:eastAsia="SimSun" w:hAnsi="Verdan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06EE"/>
    <w:pPr>
      <w:keepNext/>
      <w:numPr>
        <w:ilvl w:val="2"/>
        <w:numId w:val="1"/>
      </w:numPr>
      <w:spacing w:after="100" w:afterAutospacing="1"/>
      <w:jc w:val="right"/>
      <w:outlineLvl w:val="2"/>
    </w:pPr>
    <w:rPr>
      <w:rFonts w:ascii="Verdana" w:eastAsia="SimSun" w:hAnsi="Verdana" w:cstheme="majorBid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06EE"/>
    <w:pPr>
      <w:keepNext/>
      <w:numPr>
        <w:ilvl w:val="3"/>
        <w:numId w:val="1"/>
      </w:numPr>
      <w:spacing w:after="60"/>
      <w:outlineLvl w:val="3"/>
    </w:pPr>
    <w:rPr>
      <w:rFonts w:ascii="Calibri" w:eastAsia="SimSun" w:hAnsi="Calibr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6EE"/>
    <w:pPr>
      <w:numPr>
        <w:ilvl w:val="4"/>
        <w:numId w:val="1"/>
      </w:numPr>
      <w:spacing w:after="60"/>
      <w:outlineLvl w:val="4"/>
    </w:pPr>
    <w:rPr>
      <w:rFonts w:ascii="Calibri" w:eastAsia="SimSun" w:hAnsi="Calibr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6EE"/>
    <w:pPr>
      <w:numPr>
        <w:ilvl w:val="5"/>
        <w:numId w:val="1"/>
      </w:numPr>
      <w:spacing w:after="60"/>
      <w:outlineLvl w:val="5"/>
    </w:pPr>
    <w:rPr>
      <w:rFonts w:ascii="Calibri" w:eastAsia="SimSun" w:hAnsi="Calibri" w:cstheme="majorBid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6EE"/>
    <w:pPr>
      <w:numPr>
        <w:ilvl w:val="6"/>
        <w:numId w:val="1"/>
      </w:numPr>
      <w:spacing w:after="60"/>
      <w:outlineLvl w:val="6"/>
    </w:pPr>
    <w:rPr>
      <w:rFonts w:ascii="Calibri" w:eastAsia="SimSun" w:hAnsi="Calibr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6EE"/>
    <w:pPr>
      <w:numPr>
        <w:ilvl w:val="7"/>
        <w:numId w:val="1"/>
      </w:numPr>
      <w:spacing w:after="60"/>
      <w:outlineLvl w:val="7"/>
    </w:pPr>
    <w:rPr>
      <w:rFonts w:ascii="Calibri" w:eastAsia="SimSun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6EE"/>
    <w:pPr>
      <w:numPr>
        <w:ilvl w:val="8"/>
        <w:numId w:val="1"/>
      </w:numPr>
      <w:spacing w:after="60"/>
      <w:outlineLvl w:val="8"/>
    </w:pPr>
    <w:rPr>
      <w:rFonts w:ascii="Cambria" w:eastAsia="SimSun" w:hAnsi="Cambria" w:cstheme="majorBid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EE"/>
    <w:rPr>
      <w:rFonts w:ascii="Verdana" w:eastAsia="SimSun" w:hAnsi="Verdana" w:cstheme="majorBidi"/>
      <w:b/>
      <w:bCs/>
      <w:caps/>
      <w:kern w:val="32"/>
      <w:sz w:val="32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0606EE"/>
    <w:rPr>
      <w:rFonts w:ascii="Verdana" w:eastAsia="SimSun" w:hAnsi="Verdana" w:cstheme="majorBidi"/>
      <w:b/>
      <w:bCs/>
      <w:i/>
      <w:iCs/>
      <w:sz w:val="28"/>
      <w:szCs w:val="28"/>
      <w:lang w:val="et-EE"/>
    </w:rPr>
  </w:style>
  <w:style w:type="character" w:customStyle="1" w:styleId="Heading3Char">
    <w:name w:val="Heading 3 Char"/>
    <w:basedOn w:val="DefaultParagraphFont"/>
    <w:link w:val="Heading3"/>
    <w:uiPriority w:val="9"/>
    <w:rsid w:val="000606EE"/>
    <w:rPr>
      <w:rFonts w:ascii="Verdana" w:eastAsia="SimSun" w:hAnsi="Verdana" w:cstheme="majorBidi"/>
      <w:b/>
      <w:bCs/>
      <w:szCs w:val="26"/>
      <w:lang w:val="et-EE"/>
    </w:rPr>
  </w:style>
  <w:style w:type="character" w:customStyle="1" w:styleId="Heading4Char">
    <w:name w:val="Heading 4 Char"/>
    <w:basedOn w:val="DefaultParagraphFont"/>
    <w:link w:val="Heading4"/>
    <w:uiPriority w:val="9"/>
    <w:rsid w:val="000606EE"/>
    <w:rPr>
      <w:rFonts w:ascii="Calibri" w:eastAsia="SimSun" w:hAnsi="Calibri" w:cstheme="majorBidi"/>
      <w:b/>
      <w:bCs/>
      <w:sz w:val="28"/>
      <w:szCs w:val="28"/>
      <w:lang w:val="et-E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6EE"/>
    <w:rPr>
      <w:rFonts w:ascii="Calibri" w:eastAsia="SimSun" w:hAnsi="Calibri" w:cstheme="majorBidi"/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6EE"/>
    <w:rPr>
      <w:rFonts w:ascii="Calibri" w:eastAsia="SimSun" w:hAnsi="Calibri" w:cstheme="majorBidi"/>
      <w:b/>
      <w:bCs/>
      <w:sz w:val="20"/>
      <w:szCs w:val="20"/>
      <w:lang w:val="et-E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6EE"/>
    <w:rPr>
      <w:rFonts w:ascii="Calibri" w:eastAsia="SimSun" w:hAnsi="Calibri" w:cstheme="majorBidi"/>
      <w:lang w:val="et-E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6EE"/>
    <w:rPr>
      <w:rFonts w:ascii="Calibri" w:eastAsia="SimSun" w:hAnsi="Calibri" w:cstheme="majorBidi"/>
      <w:i/>
      <w:iCs/>
      <w:lang w:val="et-E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6EE"/>
    <w:rPr>
      <w:rFonts w:ascii="Cambria" w:eastAsia="SimSun" w:hAnsi="Cambria" w:cstheme="majorBidi"/>
      <w:sz w:val="20"/>
      <w:szCs w:val="20"/>
      <w:lang w:val="et-EE"/>
    </w:rPr>
  </w:style>
  <w:style w:type="paragraph" w:styleId="NormalWeb">
    <w:name w:val="Normal (Web)"/>
    <w:basedOn w:val="Normal"/>
    <w:uiPriority w:val="99"/>
    <w:semiHidden/>
    <w:unhideWhenUsed/>
    <w:rsid w:val="00C77863"/>
    <w:pPr>
      <w:spacing w:before="100" w:beforeAutospacing="1" w:after="100" w:afterAutospacing="1" w:line="240" w:lineRule="auto"/>
      <w:jc w:val="left"/>
    </w:pPr>
    <w:rPr>
      <w:rFonts w:eastAsiaTheme="minorHAnsi"/>
      <w:lang w:val="en-US"/>
    </w:rPr>
  </w:style>
  <w:style w:type="paragraph" w:styleId="ListParagraph">
    <w:name w:val="List Paragraph"/>
    <w:basedOn w:val="Normal"/>
    <w:uiPriority w:val="34"/>
    <w:qFormat/>
    <w:rsid w:val="00C85BB9"/>
    <w:pPr>
      <w:spacing w:before="0" w:after="0" w:line="240" w:lineRule="auto"/>
      <w:ind w:left="720"/>
      <w:contextualSpacing/>
      <w:jc w:val="left"/>
    </w:pPr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4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2136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8. Strateegia rahastamiskava (LK65)</vt:lpstr>
      <vt:lpstr>    6.4 Projektitaotluste hindamise kord ja kriteeriumid (lk58)</vt:lpstr>
    </vt:vector>
  </TitlesOfParts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Soppe</dc:creator>
  <cp:keywords/>
  <dc:description/>
  <cp:lastModifiedBy>Reili Soppe</cp:lastModifiedBy>
  <cp:revision>1</cp:revision>
  <dcterms:created xsi:type="dcterms:W3CDTF">2019-02-07T07:00:00Z</dcterms:created>
  <dcterms:modified xsi:type="dcterms:W3CDTF">2019-02-07T07:37:00Z</dcterms:modified>
</cp:coreProperties>
</file>