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70099" w14:textId="651BDD2F" w:rsidR="00D508CC" w:rsidRPr="00017B5B" w:rsidRDefault="00D508CC" w:rsidP="00D508CC">
      <w:pPr>
        <w:pStyle w:val="Titre2"/>
        <w:rPr>
          <w:sz w:val="20"/>
          <w:szCs w:val="20"/>
        </w:rPr>
      </w:pPr>
      <w:bookmarkStart w:id="0" w:name="_Toc315723566"/>
      <w:bookmarkStart w:id="1" w:name="_Toc316977284"/>
      <w:bookmarkStart w:id="2" w:name="_Toc316977363"/>
      <w:bookmarkStart w:id="3" w:name="_Toc316977477"/>
      <w:bookmarkStart w:id="4" w:name="_Toc321295905"/>
      <w:bookmarkStart w:id="5" w:name="_Toc321296050"/>
      <w:bookmarkStart w:id="6" w:name="_Toc322474366"/>
      <w:r w:rsidRPr="00017B5B">
        <w:rPr>
          <w:sz w:val="20"/>
          <w:szCs w:val="20"/>
        </w:rPr>
        <w:t>Droits des Autochtones dans le cadre du droit international</w:t>
      </w:r>
      <w:bookmarkEnd w:id="0"/>
      <w:bookmarkEnd w:id="1"/>
      <w:bookmarkEnd w:id="2"/>
      <w:bookmarkEnd w:id="3"/>
      <w:bookmarkEnd w:id="4"/>
      <w:bookmarkEnd w:id="5"/>
      <w:bookmarkEnd w:id="6"/>
    </w:p>
    <w:p w14:paraId="1F1EF428" w14:textId="77777777" w:rsidR="00D508CC" w:rsidRPr="00017B5B" w:rsidRDefault="00D508CC" w:rsidP="00D508CC">
      <w:pPr>
        <w:tabs>
          <w:tab w:val="left" w:pos="1800"/>
        </w:tabs>
        <w:jc w:val="both"/>
        <w:rPr>
          <w:rFonts w:asciiTheme="minorHAnsi" w:hAnsiTheme="minorHAnsi"/>
          <w:sz w:val="20"/>
          <w:szCs w:val="20"/>
        </w:rPr>
      </w:pPr>
      <w:r w:rsidRPr="00017B5B">
        <w:rPr>
          <w:rFonts w:asciiTheme="minorHAnsi" w:hAnsiTheme="minorHAnsi"/>
          <w:sz w:val="20"/>
          <w:szCs w:val="20"/>
        </w:rPr>
        <w:tab/>
      </w:r>
    </w:p>
    <w:p w14:paraId="01895EB4" w14:textId="57524264" w:rsidR="00D508CC" w:rsidRPr="00017B5B" w:rsidRDefault="00D508CC" w:rsidP="00D508CC">
      <w:pPr>
        <w:pStyle w:val="Titre3"/>
        <w:jc w:val="both"/>
        <w:rPr>
          <w:rFonts w:asciiTheme="minorHAnsi" w:hAnsiTheme="minorHAnsi"/>
          <w:sz w:val="20"/>
          <w:szCs w:val="20"/>
        </w:rPr>
      </w:pPr>
      <w:bookmarkStart w:id="7" w:name="h.1fob9te" w:colFirst="0" w:colLast="0"/>
      <w:bookmarkStart w:id="8" w:name="_Toc315723567"/>
      <w:bookmarkEnd w:id="7"/>
      <w:r w:rsidRPr="00017B5B">
        <w:rPr>
          <w:rFonts w:asciiTheme="minorHAnsi" w:eastAsia="Cambria" w:hAnsiTheme="minorHAnsi" w:cs="Cambria"/>
          <w:sz w:val="20"/>
          <w:szCs w:val="20"/>
        </w:rPr>
        <w:t xml:space="preserve">Les principes et instruments </w:t>
      </w:r>
      <w:r w:rsidRPr="00017B5B">
        <w:rPr>
          <w:rFonts w:asciiTheme="minorHAnsi" w:hAnsiTheme="minorHAnsi"/>
          <w:sz w:val="20"/>
          <w:szCs w:val="20"/>
        </w:rPr>
        <w:t>législatif</w:t>
      </w:r>
      <w:bookmarkEnd w:id="8"/>
      <w:r w:rsidR="00017B5B" w:rsidRPr="00017B5B">
        <w:rPr>
          <w:rFonts w:asciiTheme="minorHAnsi" w:hAnsiTheme="minorHAnsi"/>
          <w:sz w:val="20"/>
          <w:szCs w:val="20"/>
        </w:rPr>
        <w:t>s</w:t>
      </w:r>
      <w:r w:rsidRPr="00017B5B">
        <w:rPr>
          <w:rFonts w:asciiTheme="minorHAnsi" w:eastAsia="Cambria" w:hAnsiTheme="minorHAnsi" w:cs="Cambria"/>
          <w:sz w:val="20"/>
          <w:szCs w:val="20"/>
        </w:rPr>
        <w:t xml:space="preserve"> </w:t>
      </w:r>
    </w:p>
    <w:p w14:paraId="0E02CD66" w14:textId="77777777" w:rsidR="00D508CC" w:rsidRPr="00017B5B" w:rsidRDefault="00D508CC" w:rsidP="00D508CC">
      <w:pPr>
        <w:jc w:val="both"/>
        <w:rPr>
          <w:rFonts w:asciiTheme="minorHAnsi" w:hAnsiTheme="minorHAnsi"/>
          <w:sz w:val="20"/>
          <w:szCs w:val="20"/>
        </w:rPr>
      </w:pPr>
    </w:p>
    <w:p w14:paraId="1C8E89C4" w14:textId="77777777" w:rsidR="00D508CC" w:rsidRPr="00017B5B" w:rsidRDefault="00D508CC" w:rsidP="00D508CC">
      <w:pPr>
        <w:pStyle w:val="Titre4"/>
        <w:rPr>
          <w:sz w:val="20"/>
          <w:szCs w:val="20"/>
        </w:rPr>
      </w:pPr>
      <w:bookmarkStart w:id="9" w:name="h.3znysh7" w:colFirst="0" w:colLast="0"/>
      <w:bookmarkStart w:id="10" w:name="_Toc315723568"/>
      <w:bookmarkEnd w:id="9"/>
      <w:r w:rsidRPr="00017B5B">
        <w:rPr>
          <w:sz w:val="20"/>
          <w:szCs w:val="20"/>
        </w:rPr>
        <w:t>1. Droit à l’autodétermination et le droit de disposer librement des richesses et des ressources naturelles</w:t>
      </w:r>
      <w:bookmarkEnd w:id="10"/>
      <w:r w:rsidRPr="00017B5B">
        <w:rPr>
          <w:sz w:val="20"/>
          <w:szCs w:val="20"/>
        </w:rPr>
        <w:t xml:space="preserve"> </w:t>
      </w:r>
    </w:p>
    <w:p w14:paraId="2347DCAA" w14:textId="77777777" w:rsidR="00D508CC" w:rsidRPr="00017B5B" w:rsidRDefault="00D508CC" w:rsidP="00D508CC">
      <w:pPr>
        <w:jc w:val="both"/>
        <w:rPr>
          <w:rFonts w:asciiTheme="minorHAnsi" w:hAnsiTheme="minorHAnsi"/>
          <w:sz w:val="20"/>
          <w:szCs w:val="20"/>
        </w:rPr>
      </w:pPr>
    </w:p>
    <w:p w14:paraId="16E92749" w14:textId="77777777" w:rsidR="00D508CC" w:rsidRPr="00017B5B" w:rsidRDefault="00D508CC" w:rsidP="00D508CC">
      <w:pPr>
        <w:jc w:val="both"/>
        <w:rPr>
          <w:rFonts w:asciiTheme="minorHAnsi" w:hAnsiTheme="minorHAnsi"/>
          <w:sz w:val="20"/>
          <w:szCs w:val="20"/>
        </w:rPr>
      </w:pPr>
      <w:r w:rsidRPr="00017B5B">
        <w:rPr>
          <w:rFonts w:asciiTheme="minorHAnsi" w:eastAsia="Cambria" w:hAnsiTheme="minorHAnsi" w:cs="Cambria"/>
          <w:color w:val="222222"/>
          <w:sz w:val="20"/>
          <w:szCs w:val="20"/>
        </w:rPr>
        <w:t xml:space="preserve">La communauté internationale reconnaît le droit des peuples autochtones à l’autodétermination et de disposer librement de leurs richesses et leurs ressources naturelles. Ces deux principes sont reconnus dans deux instruments juridiques internationaux : le </w:t>
      </w:r>
      <w:r w:rsidRPr="00017B5B">
        <w:rPr>
          <w:rFonts w:asciiTheme="minorHAnsi" w:eastAsia="Cambria" w:hAnsiTheme="minorHAnsi" w:cs="Cambria"/>
          <w:i/>
          <w:color w:val="222222"/>
          <w:sz w:val="20"/>
          <w:szCs w:val="20"/>
        </w:rPr>
        <w:t>Pacte international relatif aux droits civils et politiques des Nations Unies</w:t>
      </w:r>
      <w:r w:rsidRPr="00017B5B">
        <w:rPr>
          <w:rFonts w:asciiTheme="minorHAnsi" w:eastAsia="Cambria" w:hAnsiTheme="minorHAnsi" w:cs="Cambria"/>
          <w:color w:val="222222"/>
          <w:sz w:val="20"/>
          <w:szCs w:val="20"/>
        </w:rPr>
        <w:t xml:space="preserve"> et le </w:t>
      </w:r>
      <w:r w:rsidRPr="00017B5B">
        <w:rPr>
          <w:rFonts w:asciiTheme="minorHAnsi" w:eastAsia="Cambria" w:hAnsiTheme="minorHAnsi" w:cs="Cambria"/>
          <w:i/>
          <w:color w:val="222222"/>
          <w:sz w:val="20"/>
          <w:szCs w:val="20"/>
        </w:rPr>
        <w:t xml:space="preserve">Pacte international relatif aux droits économiques, sociaux et culturels des Nations Unies. </w:t>
      </w:r>
    </w:p>
    <w:p w14:paraId="0994DC39" w14:textId="77777777" w:rsidR="00D508CC" w:rsidRPr="00017B5B" w:rsidRDefault="00D508CC" w:rsidP="00D508CC">
      <w:pPr>
        <w:jc w:val="both"/>
        <w:rPr>
          <w:rFonts w:asciiTheme="minorHAnsi" w:hAnsiTheme="minorHAnsi"/>
          <w:sz w:val="20"/>
          <w:szCs w:val="20"/>
        </w:rPr>
      </w:pPr>
    </w:p>
    <w:p w14:paraId="2ED1377C" w14:textId="77777777" w:rsidR="00D508CC" w:rsidRPr="00017B5B" w:rsidRDefault="00D508CC" w:rsidP="00D508CC">
      <w:pPr>
        <w:jc w:val="both"/>
        <w:rPr>
          <w:rFonts w:asciiTheme="minorHAnsi" w:hAnsiTheme="minorHAnsi"/>
          <w:sz w:val="20"/>
          <w:szCs w:val="20"/>
        </w:rPr>
      </w:pPr>
      <w:r w:rsidRPr="00017B5B">
        <w:rPr>
          <w:rFonts w:asciiTheme="minorHAnsi" w:eastAsia="Cambria" w:hAnsiTheme="minorHAnsi" w:cs="Cambria"/>
          <w:color w:val="222222"/>
          <w:sz w:val="20"/>
          <w:szCs w:val="20"/>
        </w:rPr>
        <w:t>La communauté internationale reconnaît aussi la relation entre les droits ancestraux des peuples autochtones et leur survie. Elle évoque, par exemple, le caractère fondamental du terri</w:t>
      </w:r>
      <w:bookmarkStart w:id="11" w:name="_GoBack"/>
      <w:bookmarkEnd w:id="11"/>
      <w:r w:rsidRPr="00017B5B">
        <w:rPr>
          <w:rFonts w:asciiTheme="minorHAnsi" w:eastAsia="Cambria" w:hAnsiTheme="minorHAnsi" w:cs="Cambria"/>
          <w:color w:val="222222"/>
          <w:sz w:val="20"/>
          <w:szCs w:val="20"/>
        </w:rPr>
        <w:t xml:space="preserve">toire ancestral, non seulement sur le plan économique et social, mais aussi sur le plan de la survie pour des peuples autochtones.  </w:t>
      </w:r>
    </w:p>
    <w:p w14:paraId="2B4A57CB" w14:textId="77777777" w:rsidR="00D508CC" w:rsidRPr="00017B5B" w:rsidRDefault="00D508CC" w:rsidP="00D508CC">
      <w:pPr>
        <w:jc w:val="both"/>
        <w:rPr>
          <w:rFonts w:asciiTheme="minorHAnsi" w:hAnsiTheme="minorHAnsi"/>
          <w:sz w:val="20"/>
          <w:szCs w:val="20"/>
        </w:rPr>
      </w:pPr>
    </w:p>
    <w:p w14:paraId="5E16CA5E" w14:textId="77777777" w:rsidR="00D508CC" w:rsidRPr="00017B5B" w:rsidRDefault="00D508CC" w:rsidP="00D508CC">
      <w:pPr>
        <w:pStyle w:val="Titre4"/>
        <w:rPr>
          <w:sz w:val="20"/>
          <w:szCs w:val="20"/>
        </w:rPr>
      </w:pPr>
      <w:bookmarkStart w:id="12" w:name="h.2et92p0" w:colFirst="0" w:colLast="0"/>
      <w:bookmarkStart w:id="13" w:name="_Toc315723569"/>
      <w:bookmarkEnd w:id="12"/>
      <w:r w:rsidRPr="00017B5B">
        <w:rPr>
          <w:sz w:val="20"/>
          <w:szCs w:val="20"/>
        </w:rPr>
        <w:t>2.  Droit de donner un consentement libre, préalable et éclairé</w:t>
      </w:r>
      <w:bookmarkEnd w:id="13"/>
      <w:r w:rsidRPr="00017B5B">
        <w:rPr>
          <w:sz w:val="20"/>
          <w:szCs w:val="20"/>
        </w:rPr>
        <w:t xml:space="preserve"> </w:t>
      </w:r>
    </w:p>
    <w:p w14:paraId="2B5E6283" w14:textId="77777777" w:rsidR="00D508CC" w:rsidRPr="00017B5B" w:rsidRDefault="00D508CC" w:rsidP="00D508CC">
      <w:pPr>
        <w:jc w:val="both"/>
        <w:rPr>
          <w:rFonts w:asciiTheme="minorHAnsi" w:hAnsiTheme="minorHAnsi"/>
          <w:sz w:val="20"/>
          <w:szCs w:val="20"/>
        </w:rPr>
      </w:pPr>
    </w:p>
    <w:p w14:paraId="5EF5FC07" w14:textId="77777777" w:rsidR="00D508CC" w:rsidRPr="00017B5B" w:rsidRDefault="00D508CC" w:rsidP="00D508CC">
      <w:pPr>
        <w:jc w:val="both"/>
        <w:rPr>
          <w:rFonts w:asciiTheme="minorHAnsi" w:hAnsiTheme="minorHAnsi"/>
          <w:sz w:val="20"/>
          <w:szCs w:val="20"/>
        </w:rPr>
      </w:pPr>
      <w:r w:rsidRPr="00017B5B">
        <w:rPr>
          <w:rFonts w:asciiTheme="minorHAnsi" w:eastAsia="Cambria" w:hAnsiTheme="minorHAnsi" w:cs="Cambria"/>
          <w:color w:val="222222"/>
          <w:sz w:val="20"/>
          <w:szCs w:val="20"/>
        </w:rPr>
        <w:t xml:space="preserve">De plus en plus, la communauté internationale accepte les principes liés aux droits des Autochtones, dont le droit de donner un </w:t>
      </w:r>
      <w:r w:rsidRPr="00017B5B">
        <w:rPr>
          <w:rFonts w:asciiTheme="minorHAnsi" w:eastAsia="Cambria" w:hAnsiTheme="minorHAnsi" w:cs="Cambria"/>
          <w:i/>
          <w:color w:val="222222"/>
          <w:sz w:val="20"/>
          <w:szCs w:val="20"/>
          <w:u w:val="single"/>
        </w:rPr>
        <w:t>consentement libre, préalable et éclairé</w:t>
      </w:r>
      <w:r w:rsidRPr="00017B5B">
        <w:rPr>
          <w:rFonts w:asciiTheme="minorHAnsi" w:eastAsia="Cambria" w:hAnsiTheme="minorHAnsi" w:cs="Cambria"/>
          <w:i/>
          <w:color w:val="222222"/>
          <w:sz w:val="20"/>
          <w:szCs w:val="20"/>
        </w:rPr>
        <w:t xml:space="preserve"> </w:t>
      </w:r>
      <w:r w:rsidRPr="00017B5B">
        <w:rPr>
          <w:rFonts w:asciiTheme="minorHAnsi" w:eastAsia="Cambria" w:hAnsiTheme="minorHAnsi" w:cs="Cambria"/>
          <w:color w:val="222222"/>
          <w:sz w:val="20"/>
          <w:szCs w:val="20"/>
        </w:rPr>
        <w:t xml:space="preserve">avant tout développement sur leurs territoires ancestraux. </w:t>
      </w:r>
    </w:p>
    <w:p w14:paraId="1DD27A7A" w14:textId="77777777" w:rsidR="00D508CC" w:rsidRPr="00017B5B" w:rsidRDefault="00D508CC" w:rsidP="00D508CC">
      <w:pPr>
        <w:jc w:val="both"/>
        <w:rPr>
          <w:rFonts w:asciiTheme="minorHAnsi" w:hAnsiTheme="minorHAnsi"/>
          <w:sz w:val="20"/>
          <w:szCs w:val="20"/>
        </w:rPr>
      </w:pPr>
    </w:p>
    <w:p w14:paraId="2EB15D4F" w14:textId="77777777" w:rsidR="00D508CC" w:rsidRPr="00017B5B" w:rsidRDefault="00D508CC" w:rsidP="00D508CC">
      <w:pPr>
        <w:jc w:val="both"/>
        <w:rPr>
          <w:rFonts w:asciiTheme="minorHAnsi" w:hAnsiTheme="minorHAnsi"/>
          <w:sz w:val="20"/>
          <w:szCs w:val="20"/>
        </w:rPr>
      </w:pPr>
      <w:r w:rsidRPr="00017B5B">
        <w:rPr>
          <w:rFonts w:asciiTheme="minorHAnsi" w:eastAsia="Cambria" w:hAnsiTheme="minorHAnsi" w:cs="Cambria"/>
          <w:color w:val="222222"/>
          <w:sz w:val="20"/>
          <w:szCs w:val="20"/>
        </w:rPr>
        <w:t xml:space="preserve">Le consentement libre, préalable et éclairé est un principe selon lequel une communauté autochtone a le droit de donner ou de refuser de donner son consentement à un projet susceptible d’avoir une incidence sur ses  terres et sur ses ressources naturelles. Le principe inclut le droit de participer aux décisions en lien avec ces projets. </w:t>
      </w:r>
    </w:p>
    <w:p w14:paraId="65556202" w14:textId="77777777" w:rsidR="00D508CC" w:rsidRPr="00017B5B" w:rsidRDefault="00D508CC" w:rsidP="00D508CC">
      <w:pPr>
        <w:jc w:val="both"/>
        <w:rPr>
          <w:rFonts w:asciiTheme="minorHAnsi" w:hAnsiTheme="minorHAnsi"/>
          <w:sz w:val="20"/>
          <w:szCs w:val="20"/>
        </w:rPr>
      </w:pPr>
    </w:p>
    <w:p w14:paraId="179DDD6A" w14:textId="77777777" w:rsidR="00D508CC" w:rsidRPr="00017B5B" w:rsidRDefault="00D508CC" w:rsidP="00D508CC">
      <w:pPr>
        <w:jc w:val="both"/>
        <w:rPr>
          <w:rFonts w:asciiTheme="minorHAnsi" w:hAnsiTheme="minorHAnsi"/>
          <w:sz w:val="20"/>
          <w:szCs w:val="20"/>
        </w:rPr>
      </w:pPr>
      <w:r w:rsidRPr="00017B5B">
        <w:rPr>
          <w:rFonts w:asciiTheme="minorHAnsi" w:eastAsia="Cambria" w:hAnsiTheme="minorHAnsi" w:cs="Cambria"/>
          <w:color w:val="222222"/>
          <w:sz w:val="20"/>
          <w:szCs w:val="20"/>
        </w:rPr>
        <w:t xml:space="preserve">La </w:t>
      </w:r>
      <w:r w:rsidRPr="00017B5B">
        <w:rPr>
          <w:rFonts w:asciiTheme="minorHAnsi" w:eastAsia="Cambria" w:hAnsiTheme="minorHAnsi" w:cs="Cambria"/>
          <w:i/>
          <w:color w:val="222222"/>
          <w:sz w:val="20"/>
          <w:szCs w:val="20"/>
        </w:rPr>
        <w:t>Déclaration des Nations Unies sur les droits des peuples autochtones</w:t>
      </w:r>
      <w:r w:rsidRPr="00017B5B">
        <w:rPr>
          <w:rFonts w:asciiTheme="minorHAnsi" w:eastAsia="Cambria" w:hAnsiTheme="minorHAnsi" w:cs="Cambria"/>
          <w:color w:val="222222"/>
          <w:sz w:val="20"/>
          <w:szCs w:val="20"/>
        </w:rPr>
        <w:t xml:space="preserve"> (2007) a élargi le principe pour y inclure le droit à la réparation pour les terres, les territoires, les ressources ayant été altérés et un engagement de l’État à obtenir le consentement libre, préalable et éclairé avant d’autoriser un projet qui a une incidence sur ceux-ci. </w:t>
      </w:r>
    </w:p>
    <w:p w14:paraId="30F00BA1" w14:textId="00B7082F" w:rsidR="00D508CC" w:rsidRPr="00017B5B" w:rsidRDefault="00D508CC" w:rsidP="00D508CC">
      <w:pPr>
        <w:jc w:val="both"/>
        <w:rPr>
          <w:rFonts w:asciiTheme="minorHAnsi" w:hAnsiTheme="minorHAnsi"/>
          <w:sz w:val="20"/>
          <w:szCs w:val="20"/>
        </w:rPr>
      </w:pPr>
    </w:p>
    <w:p w14:paraId="03FAE480" w14:textId="77777777" w:rsidR="00D508CC" w:rsidRPr="00017B5B" w:rsidRDefault="00D508CC" w:rsidP="00D508CC">
      <w:pPr>
        <w:jc w:val="both"/>
        <w:rPr>
          <w:rFonts w:asciiTheme="minorHAnsi" w:hAnsiTheme="minorHAnsi"/>
          <w:sz w:val="20"/>
          <w:szCs w:val="20"/>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7"/>
        <w:gridCol w:w="6822"/>
      </w:tblGrid>
      <w:tr w:rsidR="00D508CC" w:rsidRPr="00017B5B" w14:paraId="5C60C7B2" w14:textId="77777777" w:rsidTr="00017B5B">
        <w:trPr>
          <w:jc w:val="center"/>
        </w:trPr>
        <w:tc>
          <w:tcPr>
            <w:tcW w:w="8359" w:type="dxa"/>
            <w:gridSpan w:val="2"/>
            <w:shd w:val="clear" w:color="auto" w:fill="D9D9D9"/>
          </w:tcPr>
          <w:p w14:paraId="4B1CC124" w14:textId="77777777" w:rsidR="00D508CC" w:rsidRPr="00017B5B" w:rsidRDefault="00D508CC" w:rsidP="00672553">
            <w:pPr>
              <w:jc w:val="both"/>
              <w:rPr>
                <w:rFonts w:asciiTheme="minorHAnsi" w:hAnsiTheme="minorHAnsi"/>
                <w:sz w:val="20"/>
                <w:szCs w:val="20"/>
              </w:rPr>
            </w:pPr>
          </w:p>
          <w:p w14:paraId="292A5639" w14:textId="77777777" w:rsidR="00D508CC" w:rsidRPr="00017B5B" w:rsidRDefault="00D508CC" w:rsidP="00672553">
            <w:pPr>
              <w:jc w:val="both"/>
              <w:rPr>
                <w:rFonts w:asciiTheme="minorHAnsi" w:hAnsiTheme="minorHAnsi"/>
                <w:sz w:val="20"/>
                <w:szCs w:val="20"/>
              </w:rPr>
            </w:pPr>
            <w:r w:rsidRPr="00017B5B">
              <w:rPr>
                <w:rFonts w:asciiTheme="minorHAnsi" w:eastAsia="Cambria" w:hAnsiTheme="minorHAnsi" w:cs="Cambria"/>
                <w:b/>
                <w:sz w:val="20"/>
                <w:szCs w:val="20"/>
              </w:rPr>
              <w:t>Qu’est que le consentement libre, préalable et éclairé?</w:t>
            </w:r>
          </w:p>
          <w:p w14:paraId="583AA1DF" w14:textId="77777777" w:rsidR="00D508CC" w:rsidRPr="00017B5B" w:rsidRDefault="00D508CC" w:rsidP="00672553">
            <w:pPr>
              <w:jc w:val="both"/>
              <w:rPr>
                <w:rFonts w:asciiTheme="minorHAnsi" w:hAnsiTheme="minorHAnsi"/>
                <w:sz w:val="20"/>
                <w:szCs w:val="20"/>
              </w:rPr>
            </w:pPr>
          </w:p>
        </w:tc>
      </w:tr>
      <w:tr w:rsidR="00D508CC" w:rsidRPr="00017B5B" w14:paraId="3B71C4AD" w14:textId="77777777" w:rsidTr="00017B5B">
        <w:trPr>
          <w:jc w:val="center"/>
        </w:trPr>
        <w:tc>
          <w:tcPr>
            <w:tcW w:w="1537" w:type="dxa"/>
          </w:tcPr>
          <w:p w14:paraId="07D9CFC9" w14:textId="77777777" w:rsidR="00D508CC" w:rsidRPr="00017B5B" w:rsidRDefault="00D508CC" w:rsidP="00672553">
            <w:pPr>
              <w:jc w:val="both"/>
              <w:rPr>
                <w:rFonts w:asciiTheme="minorHAnsi" w:hAnsiTheme="minorHAnsi"/>
                <w:sz w:val="20"/>
                <w:szCs w:val="20"/>
              </w:rPr>
            </w:pPr>
            <w:r w:rsidRPr="00017B5B">
              <w:rPr>
                <w:rFonts w:asciiTheme="minorHAnsi" w:eastAsia="Cambria" w:hAnsiTheme="minorHAnsi" w:cs="Cambria"/>
                <w:b/>
                <w:sz w:val="20"/>
                <w:szCs w:val="20"/>
              </w:rPr>
              <w:t>Consentement</w:t>
            </w:r>
          </w:p>
        </w:tc>
        <w:tc>
          <w:tcPr>
            <w:tcW w:w="6822" w:type="dxa"/>
          </w:tcPr>
          <w:p w14:paraId="4A04F682" w14:textId="77777777" w:rsidR="00D508CC" w:rsidRPr="00017B5B" w:rsidRDefault="00D508CC" w:rsidP="00672553">
            <w:pPr>
              <w:numPr>
                <w:ilvl w:val="0"/>
                <w:numId w:val="1"/>
              </w:numPr>
              <w:ind w:hanging="360"/>
              <w:contextualSpacing/>
              <w:jc w:val="both"/>
              <w:rPr>
                <w:rFonts w:asciiTheme="minorHAnsi" w:hAnsiTheme="minorHAnsi"/>
                <w:sz w:val="20"/>
                <w:szCs w:val="20"/>
              </w:rPr>
            </w:pPr>
            <w:r w:rsidRPr="00017B5B">
              <w:rPr>
                <w:rFonts w:asciiTheme="minorHAnsi" w:eastAsia="Cambria" w:hAnsiTheme="minorHAnsi" w:cs="Cambria"/>
                <w:sz w:val="20"/>
                <w:szCs w:val="20"/>
              </w:rPr>
              <w:t>Liberté d’appuyer ou de refuser un projet qui a une incidence sur la culture ou les terres</w:t>
            </w:r>
          </w:p>
        </w:tc>
      </w:tr>
      <w:tr w:rsidR="00D508CC" w:rsidRPr="00017B5B" w14:paraId="3D5BA295" w14:textId="77777777" w:rsidTr="00017B5B">
        <w:trPr>
          <w:jc w:val="center"/>
        </w:trPr>
        <w:tc>
          <w:tcPr>
            <w:tcW w:w="1537" w:type="dxa"/>
          </w:tcPr>
          <w:p w14:paraId="1692E675" w14:textId="77777777" w:rsidR="00D508CC" w:rsidRPr="00017B5B" w:rsidRDefault="00D508CC" w:rsidP="00672553">
            <w:pPr>
              <w:jc w:val="both"/>
              <w:rPr>
                <w:rFonts w:asciiTheme="minorHAnsi" w:hAnsiTheme="minorHAnsi"/>
                <w:sz w:val="20"/>
                <w:szCs w:val="20"/>
              </w:rPr>
            </w:pPr>
            <w:r w:rsidRPr="00017B5B">
              <w:rPr>
                <w:rFonts w:asciiTheme="minorHAnsi" w:eastAsia="Cambria" w:hAnsiTheme="minorHAnsi" w:cs="Cambria"/>
                <w:b/>
                <w:sz w:val="20"/>
                <w:szCs w:val="20"/>
              </w:rPr>
              <w:t xml:space="preserve">Libre </w:t>
            </w:r>
          </w:p>
        </w:tc>
        <w:tc>
          <w:tcPr>
            <w:tcW w:w="6822" w:type="dxa"/>
          </w:tcPr>
          <w:p w14:paraId="1C9FE688" w14:textId="77777777" w:rsidR="00D508CC" w:rsidRPr="00017B5B" w:rsidRDefault="00D508CC" w:rsidP="00672553">
            <w:pPr>
              <w:numPr>
                <w:ilvl w:val="0"/>
                <w:numId w:val="1"/>
              </w:numPr>
              <w:ind w:hanging="360"/>
              <w:contextualSpacing/>
              <w:jc w:val="both"/>
              <w:rPr>
                <w:rFonts w:asciiTheme="minorHAnsi" w:hAnsiTheme="minorHAnsi"/>
                <w:sz w:val="20"/>
                <w:szCs w:val="20"/>
              </w:rPr>
            </w:pPr>
            <w:r w:rsidRPr="00017B5B">
              <w:rPr>
                <w:rFonts w:asciiTheme="minorHAnsi" w:eastAsia="Cambria" w:hAnsiTheme="minorHAnsi" w:cs="Cambria"/>
                <w:sz w:val="20"/>
                <w:szCs w:val="20"/>
              </w:rPr>
              <w:t>Donné en l’absence de coercition, d’intimidation ou manipulation</w:t>
            </w:r>
          </w:p>
        </w:tc>
      </w:tr>
      <w:tr w:rsidR="00D508CC" w:rsidRPr="00017B5B" w14:paraId="6B4CB947" w14:textId="77777777" w:rsidTr="00017B5B">
        <w:trPr>
          <w:jc w:val="center"/>
        </w:trPr>
        <w:tc>
          <w:tcPr>
            <w:tcW w:w="1537" w:type="dxa"/>
          </w:tcPr>
          <w:p w14:paraId="7F790A4A" w14:textId="77777777" w:rsidR="00D508CC" w:rsidRPr="00017B5B" w:rsidRDefault="00D508CC" w:rsidP="00672553">
            <w:pPr>
              <w:jc w:val="both"/>
              <w:rPr>
                <w:rFonts w:asciiTheme="minorHAnsi" w:hAnsiTheme="minorHAnsi"/>
                <w:sz w:val="20"/>
                <w:szCs w:val="20"/>
              </w:rPr>
            </w:pPr>
            <w:r w:rsidRPr="00017B5B">
              <w:rPr>
                <w:rFonts w:asciiTheme="minorHAnsi" w:eastAsia="Cambria" w:hAnsiTheme="minorHAnsi" w:cs="Cambria"/>
                <w:b/>
                <w:sz w:val="20"/>
                <w:szCs w:val="20"/>
              </w:rPr>
              <w:t xml:space="preserve">Préalable  </w:t>
            </w:r>
          </w:p>
        </w:tc>
        <w:tc>
          <w:tcPr>
            <w:tcW w:w="6822" w:type="dxa"/>
          </w:tcPr>
          <w:p w14:paraId="618CA2C1" w14:textId="77777777" w:rsidR="00D508CC" w:rsidRPr="00017B5B" w:rsidRDefault="00D508CC" w:rsidP="00672553">
            <w:pPr>
              <w:numPr>
                <w:ilvl w:val="0"/>
                <w:numId w:val="1"/>
              </w:numPr>
              <w:ind w:hanging="360"/>
              <w:contextualSpacing/>
              <w:jc w:val="both"/>
              <w:rPr>
                <w:rFonts w:asciiTheme="minorHAnsi" w:hAnsiTheme="minorHAnsi"/>
                <w:sz w:val="20"/>
                <w:szCs w:val="20"/>
              </w:rPr>
            </w:pPr>
            <w:r w:rsidRPr="00017B5B">
              <w:rPr>
                <w:rFonts w:asciiTheme="minorHAnsi" w:eastAsia="Cambria" w:hAnsiTheme="minorHAnsi" w:cs="Cambria"/>
                <w:sz w:val="20"/>
                <w:szCs w:val="20"/>
              </w:rPr>
              <w:t>Obtenu avant chaque étape importante de l’élaboration du projet</w:t>
            </w:r>
          </w:p>
        </w:tc>
      </w:tr>
      <w:tr w:rsidR="00D508CC" w:rsidRPr="00017B5B" w14:paraId="76C0AB39" w14:textId="77777777" w:rsidTr="00017B5B">
        <w:trPr>
          <w:jc w:val="center"/>
        </w:trPr>
        <w:tc>
          <w:tcPr>
            <w:tcW w:w="1537" w:type="dxa"/>
          </w:tcPr>
          <w:p w14:paraId="796CB999" w14:textId="77777777" w:rsidR="00D508CC" w:rsidRPr="00017B5B" w:rsidRDefault="00D508CC" w:rsidP="00672553">
            <w:pPr>
              <w:jc w:val="both"/>
              <w:rPr>
                <w:rFonts w:asciiTheme="minorHAnsi" w:hAnsiTheme="minorHAnsi"/>
                <w:sz w:val="20"/>
                <w:szCs w:val="20"/>
              </w:rPr>
            </w:pPr>
            <w:r w:rsidRPr="00017B5B">
              <w:rPr>
                <w:rFonts w:asciiTheme="minorHAnsi" w:eastAsia="Cambria" w:hAnsiTheme="minorHAnsi" w:cs="Cambria"/>
                <w:b/>
                <w:sz w:val="20"/>
                <w:szCs w:val="20"/>
              </w:rPr>
              <w:t xml:space="preserve">Éclairé </w:t>
            </w:r>
          </w:p>
        </w:tc>
        <w:tc>
          <w:tcPr>
            <w:tcW w:w="6822" w:type="dxa"/>
          </w:tcPr>
          <w:p w14:paraId="5B19167F" w14:textId="77777777" w:rsidR="00D508CC" w:rsidRPr="00017B5B" w:rsidRDefault="00D508CC" w:rsidP="00672553">
            <w:pPr>
              <w:numPr>
                <w:ilvl w:val="0"/>
                <w:numId w:val="1"/>
              </w:numPr>
              <w:ind w:hanging="360"/>
              <w:contextualSpacing/>
              <w:jc w:val="both"/>
              <w:rPr>
                <w:rFonts w:asciiTheme="minorHAnsi" w:hAnsiTheme="minorHAnsi"/>
                <w:b/>
                <w:sz w:val="20"/>
                <w:szCs w:val="20"/>
              </w:rPr>
            </w:pPr>
            <w:r w:rsidRPr="00017B5B">
              <w:rPr>
                <w:rFonts w:asciiTheme="minorHAnsi" w:eastAsia="Cambria" w:hAnsiTheme="minorHAnsi" w:cs="Cambria"/>
                <w:sz w:val="20"/>
                <w:szCs w:val="20"/>
              </w:rPr>
              <w:t>Accès aux renseignements sur le projet</w:t>
            </w:r>
          </w:p>
          <w:p w14:paraId="6C80DFF9" w14:textId="77777777" w:rsidR="00D508CC" w:rsidRPr="00017B5B" w:rsidRDefault="00D508CC" w:rsidP="00672553">
            <w:pPr>
              <w:numPr>
                <w:ilvl w:val="0"/>
                <w:numId w:val="1"/>
              </w:numPr>
              <w:ind w:hanging="360"/>
              <w:contextualSpacing/>
              <w:jc w:val="both"/>
              <w:rPr>
                <w:rFonts w:asciiTheme="minorHAnsi" w:hAnsiTheme="minorHAnsi"/>
                <w:b/>
                <w:sz w:val="20"/>
                <w:szCs w:val="20"/>
              </w:rPr>
            </w:pPr>
            <w:r w:rsidRPr="00017B5B">
              <w:rPr>
                <w:rFonts w:asciiTheme="minorHAnsi" w:eastAsia="Cambria" w:hAnsiTheme="minorHAnsi" w:cs="Cambria"/>
                <w:sz w:val="20"/>
                <w:szCs w:val="20"/>
              </w:rPr>
              <w:t>Renseignements présentés de manière compréhensible</w:t>
            </w:r>
          </w:p>
          <w:p w14:paraId="271D4B7E" w14:textId="77777777" w:rsidR="00D508CC" w:rsidRPr="00017B5B" w:rsidRDefault="00D508CC" w:rsidP="00672553">
            <w:pPr>
              <w:numPr>
                <w:ilvl w:val="0"/>
                <w:numId w:val="1"/>
              </w:numPr>
              <w:ind w:hanging="360"/>
              <w:contextualSpacing/>
              <w:jc w:val="both"/>
              <w:rPr>
                <w:rFonts w:asciiTheme="minorHAnsi" w:hAnsiTheme="minorHAnsi"/>
                <w:sz w:val="20"/>
                <w:szCs w:val="20"/>
              </w:rPr>
            </w:pPr>
            <w:r w:rsidRPr="00017B5B">
              <w:rPr>
                <w:rFonts w:asciiTheme="minorHAnsi" w:eastAsia="Cambria" w:hAnsiTheme="minorHAnsi" w:cs="Cambria"/>
                <w:sz w:val="20"/>
                <w:szCs w:val="20"/>
              </w:rPr>
              <w:t>Accès à suffisamment de données</w:t>
            </w:r>
          </w:p>
          <w:p w14:paraId="29E5FA50" w14:textId="77777777" w:rsidR="00D508CC" w:rsidRPr="00017B5B" w:rsidRDefault="00D508CC" w:rsidP="00672553">
            <w:pPr>
              <w:numPr>
                <w:ilvl w:val="0"/>
                <w:numId w:val="1"/>
              </w:numPr>
              <w:ind w:hanging="360"/>
              <w:contextualSpacing/>
              <w:jc w:val="both"/>
              <w:rPr>
                <w:rFonts w:asciiTheme="minorHAnsi" w:hAnsiTheme="minorHAnsi"/>
                <w:b/>
                <w:sz w:val="20"/>
                <w:szCs w:val="20"/>
              </w:rPr>
            </w:pPr>
            <w:r w:rsidRPr="00017B5B">
              <w:rPr>
                <w:rFonts w:asciiTheme="minorHAnsi" w:eastAsia="Cambria" w:hAnsiTheme="minorHAnsi" w:cs="Cambria"/>
                <w:sz w:val="20"/>
                <w:szCs w:val="20"/>
              </w:rPr>
              <w:t>Compétences nécessaires pour prendre des décisions éclairées</w:t>
            </w:r>
          </w:p>
        </w:tc>
      </w:tr>
    </w:tbl>
    <w:p w14:paraId="58759394" w14:textId="77777777" w:rsidR="00D508CC" w:rsidRPr="00017B5B" w:rsidRDefault="00D508CC" w:rsidP="00D508CC">
      <w:pPr>
        <w:jc w:val="both"/>
        <w:rPr>
          <w:rFonts w:asciiTheme="minorHAnsi" w:hAnsiTheme="minorHAnsi"/>
          <w:sz w:val="20"/>
          <w:szCs w:val="20"/>
        </w:rPr>
      </w:pPr>
    </w:p>
    <w:p w14:paraId="31AB87EE" w14:textId="77777777" w:rsidR="00D508CC" w:rsidRPr="00017B5B" w:rsidRDefault="00D508CC" w:rsidP="00D508CC">
      <w:pPr>
        <w:jc w:val="both"/>
        <w:rPr>
          <w:rFonts w:asciiTheme="minorHAnsi" w:hAnsiTheme="minorHAnsi"/>
          <w:sz w:val="20"/>
          <w:szCs w:val="20"/>
        </w:rPr>
      </w:pPr>
      <w:r w:rsidRPr="00017B5B">
        <w:rPr>
          <w:rFonts w:asciiTheme="minorHAnsi" w:eastAsia="Cambria" w:hAnsiTheme="minorHAnsi" w:cs="Cambria"/>
          <w:color w:val="222222"/>
          <w:sz w:val="20"/>
          <w:szCs w:val="20"/>
        </w:rPr>
        <w:t>Le principe suppose des négociations éclairées, non coercitives entre l’entreprise, le gouvernement et la communauté autochtone, et ce, avant le développement et la mise en œuvre du projet. Une entreprise qui souhaite utiliser les terres coutumières qui appartiennent à une communauté autochtone doit entamer des négociations avec elle et donner toutes les informations relatives au projet. Selon ce principe, la communauté doit bien saisir l’étendue des conséquences que le projet aura sur la communauté même et le territoire. Il revient à la communauté autochtone de consentir ou non au projet une fois qu’elle saisit les conséquences potentielles du projet</w:t>
      </w:r>
    </w:p>
    <w:p w14:paraId="1C8A9645" w14:textId="77777777" w:rsidR="00D508CC" w:rsidRPr="00017B5B" w:rsidRDefault="00D508CC" w:rsidP="00D508CC">
      <w:pPr>
        <w:jc w:val="both"/>
        <w:rPr>
          <w:rFonts w:asciiTheme="minorHAnsi" w:hAnsiTheme="minorHAnsi"/>
          <w:sz w:val="20"/>
          <w:szCs w:val="20"/>
        </w:rPr>
      </w:pPr>
    </w:p>
    <w:p w14:paraId="0BB3A29F" w14:textId="77777777" w:rsidR="00D508CC" w:rsidRPr="00017B5B" w:rsidRDefault="00D508CC" w:rsidP="00D508CC">
      <w:pPr>
        <w:jc w:val="both"/>
        <w:rPr>
          <w:rFonts w:asciiTheme="minorHAnsi" w:hAnsiTheme="minorHAnsi"/>
          <w:sz w:val="20"/>
          <w:szCs w:val="20"/>
        </w:rPr>
      </w:pPr>
      <w:r w:rsidRPr="00017B5B">
        <w:rPr>
          <w:rFonts w:asciiTheme="minorHAnsi" w:eastAsia="Cambria" w:hAnsiTheme="minorHAnsi" w:cs="Cambria"/>
          <w:color w:val="222222"/>
          <w:sz w:val="20"/>
          <w:szCs w:val="20"/>
        </w:rPr>
        <w:t xml:space="preserve">L’objectif du principe, selon l’interprétation la plus courante, est de permettre aux communautés autochtones de dégager des consensus et de prendre des décisions conformément à leurs systèmes traditionnels de prise de décisions. </w:t>
      </w:r>
    </w:p>
    <w:p w14:paraId="0572612B" w14:textId="77777777" w:rsidR="00D508CC" w:rsidRPr="00017B5B" w:rsidRDefault="00D508CC" w:rsidP="00D508CC">
      <w:pPr>
        <w:jc w:val="both"/>
        <w:rPr>
          <w:rFonts w:asciiTheme="minorHAnsi" w:hAnsiTheme="minorHAnsi"/>
          <w:sz w:val="20"/>
          <w:szCs w:val="20"/>
        </w:rPr>
      </w:pPr>
    </w:p>
    <w:p w14:paraId="100652F7" w14:textId="77777777" w:rsidR="00D508CC" w:rsidRPr="00017B5B" w:rsidRDefault="00D508CC" w:rsidP="00D508CC">
      <w:pPr>
        <w:pStyle w:val="Titre4"/>
        <w:rPr>
          <w:sz w:val="20"/>
          <w:szCs w:val="20"/>
        </w:rPr>
      </w:pPr>
      <w:bookmarkStart w:id="14" w:name="h.tyjcwt" w:colFirst="0" w:colLast="0"/>
      <w:bookmarkStart w:id="15" w:name="_Toc315723570"/>
      <w:bookmarkEnd w:id="14"/>
      <w:r w:rsidRPr="00017B5B">
        <w:rPr>
          <w:sz w:val="20"/>
          <w:szCs w:val="20"/>
        </w:rPr>
        <w:t>3.  Les effets en pratique</w:t>
      </w:r>
      <w:bookmarkEnd w:id="15"/>
      <w:r w:rsidRPr="00017B5B">
        <w:rPr>
          <w:sz w:val="20"/>
          <w:szCs w:val="20"/>
        </w:rPr>
        <w:t xml:space="preserve">  </w:t>
      </w:r>
    </w:p>
    <w:p w14:paraId="5DA984E0" w14:textId="77777777" w:rsidR="00D508CC" w:rsidRPr="00017B5B" w:rsidRDefault="00D508CC" w:rsidP="00D508CC">
      <w:pPr>
        <w:jc w:val="both"/>
        <w:rPr>
          <w:rFonts w:asciiTheme="minorHAnsi" w:hAnsiTheme="minorHAnsi"/>
          <w:sz w:val="20"/>
          <w:szCs w:val="20"/>
        </w:rPr>
      </w:pPr>
    </w:p>
    <w:p w14:paraId="4D373AFC" w14:textId="08C1A2BB" w:rsidR="00B0751E" w:rsidRPr="00017B5B" w:rsidRDefault="00D508CC" w:rsidP="00017B5B">
      <w:pPr>
        <w:jc w:val="both"/>
        <w:rPr>
          <w:rFonts w:asciiTheme="minorHAnsi" w:hAnsiTheme="minorHAnsi"/>
          <w:sz w:val="20"/>
          <w:szCs w:val="20"/>
        </w:rPr>
      </w:pPr>
      <w:r w:rsidRPr="00017B5B">
        <w:rPr>
          <w:rFonts w:asciiTheme="minorHAnsi" w:eastAsia="Cambria" w:hAnsiTheme="minorHAnsi" w:cs="Cambria"/>
          <w:color w:val="222222"/>
          <w:sz w:val="20"/>
          <w:szCs w:val="20"/>
        </w:rPr>
        <w:t>Au Canada, le gouvernement demeure prudent quant à la reconnaissance formelle du droit des Autochtones à disposer d’eux-mêmes</w:t>
      </w:r>
      <w:r w:rsidR="00017B5B" w:rsidRPr="00017B5B">
        <w:rPr>
          <w:rFonts w:asciiTheme="minorHAnsi" w:eastAsia="Cambria" w:hAnsiTheme="minorHAnsi" w:cs="Cambria"/>
          <w:color w:val="222222"/>
          <w:sz w:val="20"/>
          <w:szCs w:val="20"/>
        </w:rPr>
        <w:t xml:space="preserve"> et ce, malgré son appui sans réserve à la </w:t>
      </w:r>
      <w:r w:rsidR="00017B5B" w:rsidRPr="00017B5B">
        <w:rPr>
          <w:rFonts w:asciiTheme="minorHAnsi" w:eastAsia="Cambria" w:hAnsiTheme="minorHAnsi" w:cs="Cambria"/>
          <w:i/>
          <w:color w:val="222222"/>
          <w:sz w:val="20"/>
          <w:szCs w:val="20"/>
        </w:rPr>
        <w:t>Déclaration des Nations Unies sur les droits des peuples autochtones</w:t>
      </w:r>
      <w:r w:rsidRPr="00017B5B">
        <w:rPr>
          <w:rFonts w:asciiTheme="minorHAnsi" w:eastAsia="Cambria" w:hAnsiTheme="minorHAnsi" w:cs="Cambria"/>
          <w:color w:val="222222"/>
          <w:sz w:val="20"/>
          <w:szCs w:val="20"/>
        </w:rPr>
        <w:t xml:space="preserve">. Les lois et conventions internationales ne peuvent être employées pour forcer les entreprises ou les gouvernements à agir d’une façon qui serait garantie par les droits nationaux. Mais cette reconnaissance peut tout de même servir comme base dans la négociation des </w:t>
      </w:r>
      <w:proofErr w:type="spellStart"/>
      <w:r w:rsidRPr="00017B5B">
        <w:rPr>
          <w:rFonts w:asciiTheme="minorHAnsi" w:eastAsia="Cambria" w:hAnsiTheme="minorHAnsi" w:cs="Cambria"/>
          <w:color w:val="222222"/>
          <w:sz w:val="20"/>
          <w:szCs w:val="20"/>
        </w:rPr>
        <w:t>ERAs</w:t>
      </w:r>
      <w:proofErr w:type="spellEnd"/>
      <w:r w:rsidRPr="00017B5B">
        <w:rPr>
          <w:rFonts w:asciiTheme="minorHAnsi" w:eastAsia="Cambria" w:hAnsiTheme="minorHAnsi" w:cs="Cambria"/>
          <w:color w:val="222222"/>
          <w:sz w:val="20"/>
          <w:szCs w:val="20"/>
        </w:rPr>
        <w:t xml:space="preserve">, lorsque les droits sont limités en vertu des lois canadiennes. En effet, cette reconnaissance peut s’avérer utile lorsque les entreprises multinationales impliquées dans les projets sont sensibles à leur image sur le plan international. Si c’est le cas, ces entreprises peuvent ressentir le besoin de répondre aux exigences du droit international en matière de droits autochtones. Ainsi, les développements des normes internationales peuvent servir de contrepoids au moment de la négociation avec ces entreprises. </w:t>
      </w:r>
    </w:p>
    <w:sectPr w:rsidR="00B0751E" w:rsidRPr="00017B5B" w:rsidSect="00FB5EA6">
      <w:footerReference w:type="default" r:id="rId7"/>
      <w:pgSz w:w="12240" w:h="20160" w:code="5"/>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26711" w14:textId="77777777" w:rsidR="00514918" w:rsidRDefault="00514918" w:rsidP="00017B5B">
      <w:r>
        <w:separator/>
      </w:r>
    </w:p>
  </w:endnote>
  <w:endnote w:type="continuationSeparator" w:id="0">
    <w:p w14:paraId="33F871FE" w14:textId="77777777" w:rsidR="00514918" w:rsidRDefault="00514918" w:rsidP="0001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A43E" w14:textId="68F6AB6F" w:rsidR="00FB5EA6" w:rsidRPr="00FB5EA6" w:rsidRDefault="00FB5EA6" w:rsidP="00FB5EA6">
    <w:pPr>
      <w:pStyle w:val="Pieddepage"/>
      <w:rPr>
        <w:rFonts w:asciiTheme="minorHAnsi" w:hAnsiTheme="minorHAnsi" w:cstheme="minorHAnsi"/>
        <w:sz w:val="18"/>
        <w:szCs w:val="18"/>
      </w:rPr>
    </w:pPr>
    <w:r>
      <w:rPr>
        <w:rFonts w:asciiTheme="minorHAnsi" w:hAnsiTheme="minorHAnsi" w:cstheme="minorHAnsi"/>
        <w:i/>
        <w:noProof/>
        <w:sz w:val="16"/>
        <w:szCs w:val="16"/>
      </w:rPr>
      <mc:AlternateContent>
        <mc:Choice Requires="wps">
          <w:drawing>
            <wp:anchor distT="0" distB="0" distL="114300" distR="114300" simplePos="0" relativeHeight="251659264" behindDoc="0" locked="0" layoutInCell="1" allowOverlap="1" wp14:anchorId="3E9A28D3" wp14:editId="4D62E2C2">
              <wp:simplePos x="0" y="0"/>
              <wp:positionH relativeFrom="column">
                <wp:posOffset>9524</wp:posOffset>
              </wp:positionH>
              <wp:positionV relativeFrom="paragraph">
                <wp:posOffset>70485</wp:posOffset>
              </wp:positionV>
              <wp:extent cx="5991225" cy="0"/>
              <wp:effectExtent l="0" t="0" r="28575" b="19050"/>
              <wp:wrapNone/>
              <wp:docPr id="2" name="Connecteur droit 2"/>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ECE85"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55pt" to="47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" strokecolor="black [3213]" strokeweight=".5pt">
              <v:stroke joinstyle="miter"/>
            </v:line>
          </w:pict>
        </mc:Fallback>
      </mc:AlternateContent>
    </w:r>
    <w:r w:rsidR="00017B5B">
      <w:rPr>
        <w:rFonts w:asciiTheme="minorHAnsi" w:hAnsiTheme="minorHAnsi" w:cstheme="minorHAnsi"/>
        <w:i/>
        <w:noProof/>
        <w:sz w:val="16"/>
        <w:szCs w:val="16"/>
      </w:rPr>
      <w:drawing>
        <wp:inline distT="0" distB="0" distL="0" distR="0" wp14:anchorId="64C15A8A" wp14:editId="679E7B3B">
          <wp:extent cx="466725" cy="4095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 logo court.png"/>
                  <pic:cNvPicPr/>
                </pic:nvPicPr>
                <pic:blipFill>
                  <a:blip r:embed="rId1">
                    <a:extLst>
                      <a:ext uri="{28A0092B-C50C-407E-A947-70E740481C1C}">
                        <a14:useLocalDpi xmlns:a14="http://schemas.microsoft.com/office/drawing/2010/main" val="0"/>
                      </a:ext>
                    </a:extLst>
                  </a:blip>
                  <a:stretch>
                    <a:fillRect/>
                  </a:stretch>
                </pic:blipFill>
                <pic:spPr>
                  <a:xfrm>
                    <a:off x="0" y="0"/>
                    <a:ext cx="529486" cy="464651"/>
                  </a:xfrm>
                  <a:prstGeom prst="rect">
                    <a:avLst/>
                  </a:prstGeom>
                </pic:spPr>
              </pic:pic>
            </a:graphicData>
          </a:graphic>
        </wp:inline>
      </w:drawing>
    </w:r>
    <w:r w:rsidR="00017B5B" w:rsidRPr="00FB5EA6">
      <w:rPr>
        <w:rFonts w:asciiTheme="minorHAnsi" w:hAnsiTheme="minorHAnsi" w:cstheme="minorHAnsi"/>
        <w:i/>
        <w:sz w:val="18"/>
        <w:szCs w:val="18"/>
      </w:rPr>
      <w:ptab w:relativeTo="margin" w:alignment="center" w:leader="none"/>
    </w:r>
    <w:r w:rsidR="00017B5B" w:rsidRPr="00FB5EA6">
      <w:rPr>
        <w:rFonts w:asciiTheme="minorHAnsi" w:hAnsiTheme="minorHAnsi" w:cstheme="minorHAnsi"/>
        <w:i/>
        <w:sz w:val="18"/>
        <w:szCs w:val="18"/>
      </w:rPr>
      <w:t>Formation sur la négociation et le suivi des ententes sur les rép</w:t>
    </w:r>
    <w:r>
      <w:rPr>
        <w:rFonts w:asciiTheme="minorHAnsi" w:hAnsiTheme="minorHAnsi" w:cstheme="minorHAnsi"/>
        <w:i/>
        <w:sz w:val="18"/>
        <w:szCs w:val="18"/>
      </w:rPr>
      <w:t>ercussions et les avantages (ERA</w:t>
    </w:r>
    <w:proofErr w:type="gramStart"/>
    <w:r>
      <w:rPr>
        <w:rFonts w:asciiTheme="minorHAnsi" w:hAnsiTheme="minorHAnsi" w:cstheme="minorHAnsi"/>
        <w:i/>
        <w:sz w:val="18"/>
        <w:szCs w:val="18"/>
      </w:rPr>
      <w:t>)</w:t>
    </w:r>
    <w:proofErr w:type="gramEnd"/>
    <w:r w:rsidR="00017B5B" w:rsidRPr="00FB5EA6">
      <w:rPr>
        <w:rFonts w:asciiTheme="minorHAnsi" w:hAnsiTheme="minorHAnsi" w:cstheme="minorHAnsi"/>
        <w:sz w:val="18"/>
        <w:szCs w:val="18"/>
      </w:rPr>
      <w:ptab w:relativeTo="margin" w:alignment="right" w:leader="none"/>
    </w:r>
    <w:r w:rsidR="00017B5B" w:rsidRPr="00FB5EA6">
      <w:rPr>
        <w:rFonts w:asciiTheme="minorHAnsi" w:hAnsiTheme="minorHAnsi" w:cstheme="minorHAnsi"/>
        <w:sz w:val="18"/>
        <w:szCs w:val="18"/>
      </w:rPr>
      <w:t>2015-16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05C85" w14:textId="77777777" w:rsidR="00514918" w:rsidRDefault="00514918" w:rsidP="00017B5B">
      <w:r>
        <w:separator/>
      </w:r>
    </w:p>
  </w:footnote>
  <w:footnote w:type="continuationSeparator" w:id="0">
    <w:p w14:paraId="4767E1EA" w14:textId="77777777" w:rsidR="00514918" w:rsidRDefault="00514918" w:rsidP="00017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024CA"/>
    <w:multiLevelType w:val="multilevel"/>
    <w:tmpl w:val="B7A8297E"/>
    <w:lvl w:ilvl="0">
      <w:start w:val="1"/>
      <w:numFmt w:val="bullet"/>
      <w:lvlText w:val="●"/>
      <w:lvlJc w:val="left"/>
      <w:pPr>
        <w:ind w:left="360" w:firstLine="0"/>
      </w:pPr>
      <w:rPr>
        <w:rFonts w:ascii="Arial" w:eastAsia="Arial" w:hAnsi="Arial" w:cs="Arial"/>
        <w:sz w:val="18"/>
        <w:szCs w:val="18"/>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o:colormru v:ext="edit" colors="#b9e9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CC"/>
    <w:rsid w:val="00017B5B"/>
    <w:rsid w:val="0009065B"/>
    <w:rsid w:val="00223A71"/>
    <w:rsid w:val="00514918"/>
    <w:rsid w:val="00561681"/>
    <w:rsid w:val="00703AF8"/>
    <w:rsid w:val="007614ED"/>
    <w:rsid w:val="008B58C3"/>
    <w:rsid w:val="008B7D59"/>
    <w:rsid w:val="00A15C0A"/>
    <w:rsid w:val="00AF7B6B"/>
    <w:rsid w:val="00D508CC"/>
    <w:rsid w:val="00F07664"/>
    <w:rsid w:val="00FB5E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9e9c1"/>
    </o:shapedefaults>
    <o:shapelayout v:ext="edit">
      <o:idmap v:ext="edit" data="1"/>
    </o:shapelayout>
  </w:shapeDefaults>
  <w:decimalSymbol w:val=","/>
  <w:listSeparator w:val=";"/>
  <w14:docId w14:val="22B7C551"/>
  <w15:chartTrackingRefBased/>
  <w15:docId w15:val="{58C1D355-864A-405D-88C8-EF66DAF2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8CC"/>
    <w:pPr>
      <w:spacing w:after="0" w:line="240" w:lineRule="auto"/>
    </w:pPr>
    <w:rPr>
      <w:rFonts w:ascii="Times New Roman" w:eastAsia="MS ??" w:hAnsi="Times New Roman" w:cs="Times New Roman"/>
      <w:sz w:val="24"/>
      <w:szCs w:val="24"/>
      <w:lang w:val="fr-CA" w:eastAsia="fr-CA"/>
    </w:rPr>
  </w:style>
  <w:style w:type="paragraph" w:styleId="Titre2">
    <w:name w:val="heading 2"/>
    <w:basedOn w:val="Normal"/>
    <w:next w:val="Normal"/>
    <w:link w:val="Titre2Car"/>
    <w:uiPriority w:val="99"/>
    <w:qFormat/>
    <w:rsid w:val="00D508CC"/>
    <w:pPr>
      <w:keepNext/>
      <w:keepLines/>
      <w:spacing w:before="200"/>
      <w:jc w:val="both"/>
      <w:outlineLvl w:val="1"/>
    </w:pPr>
    <w:rPr>
      <w:rFonts w:asciiTheme="minorHAnsi" w:eastAsia="MS ????" w:hAnsiTheme="minorHAnsi"/>
      <w:b/>
      <w:bCs/>
      <w:u w:val="single"/>
      <w:lang w:val="fr-FR" w:eastAsia="fr-FR"/>
    </w:rPr>
  </w:style>
  <w:style w:type="paragraph" w:styleId="Titre3">
    <w:name w:val="heading 3"/>
    <w:basedOn w:val="Normal"/>
    <w:next w:val="Normal"/>
    <w:link w:val="Titre3Car"/>
    <w:uiPriority w:val="99"/>
    <w:qFormat/>
    <w:rsid w:val="00D508CC"/>
    <w:pPr>
      <w:keepNext/>
      <w:keepLines/>
      <w:spacing w:before="200"/>
      <w:outlineLvl w:val="2"/>
    </w:pPr>
    <w:rPr>
      <w:rFonts w:ascii="Cambria" w:eastAsia="MS ????" w:hAnsi="Cambria"/>
      <w:b/>
      <w:bCs/>
      <w:caps/>
      <w:lang w:val="fr-FR"/>
    </w:rPr>
  </w:style>
  <w:style w:type="paragraph" w:styleId="Titre4">
    <w:name w:val="heading 4"/>
    <w:basedOn w:val="Normal"/>
    <w:next w:val="Normal"/>
    <w:link w:val="Titre4Car"/>
    <w:uiPriority w:val="99"/>
    <w:qFormat/>
    <w:rsid w:val="00D508CC"/>
    <w:pPr>
      <w:keepNext/>
      <w:keepLines/>
      <w:spacing w:before="200"/>
      <w:jc w:val="both"/>
      <w:outlineLvl w:val="3"/>
    </w:pPr>
    <w:rPr>
      <w:rFonts w:asciiTheme="minorHAnsi" w:eastAsia="MS ????" w:hAnsiTheme="minorHAnsi"/>
      <w:b/>
      <w:bCs/>
      <w:i/>
      <w:iCs/>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D508CC"/>
    <w:rPr>
      <w:rFonts w:eastAsia="MS ????" w:cs="Times New Roman"/>
      <w:b/>
      <w:bCs/>
      <w:sz w:val="24"/>
      <w:szCs w:val="24"/>
      <w:u w:val="single"/>
      <w:lang w:val="fr-FR" w:eastAsia="fr-FR"/>
    </w:rPr>
  </w:style>
  <w:style w:type="character" w:customStyle="1" w:styleId="Titre3Car">
    <w:name w:val="Titre 3 Car"/>
    <w:basedOn w:val="Policepardfaut"/>
    <w:link w:val="Titre3"/>
    <w:uiPriority w:val="99"/>
    <w:rsid w:val="00D508CC"/>
    <w:rPr>
      <w:rFonts w:ascii="Cambria" w:eastAsia="MS ????" w:hAnsi="Cambria" w:cs="Times New Roman"/>
      <w:b/>
      <w:bCs/>
      <w:caps/>
      <w:sz w:val="24"/>
      <w:szCs w:val="24"/>
      <w:lang w:val="fr-FR" w:eastAsia="fr-CA"/>
    </w:rPr>
  </w:style>
  <w:style w:type="character" w:customStyle="1" w:styleId="Titre4Car">
    <w:name w:val="Titre 4 Car"/>
    <w:basedOn w:val="Policepardfaut"/>
    <w:link w:val="Titre4"/>
    <w:uiPriority w:val="99"/>
    <w:rsid w:val="00D508CC"/>
    <w:rPr>
      <w:rFonts w:eastAsia="MS ????" w:cs="Times New Roman"/>
      <w:b/>
      <w:bCs/>
      <w:i/>
      <w:iCs/>
      <w:sz w:val="24"/>
      <w:szCs w:val="24"/>
      <w:lang w:val="fr-FR" w:eastAsia="fr-FR"/>
    </w:rPr>
  </w:style>
  <w:style w:type="paragraph" w:styleId="En-tte">
    <w:name w:val="header"/>
    <w:basedOn w:val="Normal"/>
    <w:link w:val="En-tteCar"/>
    <w:uiPriority w:val="99"/>
    <w:unhideWhenUsed/>
    <w:rsid w:val="00017B5B"/>
    <w:pPr>
      <w:tabs>
        <w:tab w:val="center" w:pos="4320"/>
        <w:tab w:val="right" w:pos="8640"/>
      </w:tabs>
    </w:pPr>
  </w:style>
  <w:style w:type="character" w:customStyle="1" w:styleId="En-tteCar">
    <w:name w:val="En-tête Car"/>
    <w:basedOn w:val="Policepardfaut"/>
    <w:link w:val="En-tte"/>
    <w:uiPriority w:val="99"/>
    <w:rsid w:val="00017B5B"/>
    <w:rPr>
      <w:rFonts w:ascii="Times New Roman" w:eastAsia="MS ??" w:hAnsi="Times New Roman" w:cs="Times New Roman"/>
      <w:sz w:val="24"/>
      <w:szCs w:val="24"/>
      <w:lang w:val="fr-CA" w:eastAsia="fr-CA"/>
    </w:rPr>
  </w:style>
  <w:style w:type="paragraph" w:styleId="Pieddepage">
    <w:name w:val="footer"/>
    <w:basedOn w:val="Normal"/>
    <w:link w:val="PieddepageCar"/>
    <w:uiPriority w:val="99"/>
    <w:unhideWhenUsed/>
    <w:rsid w:val="00017B5B"/>
    <w:pPr>
      <w:tabs>
        <w:tab w:val="center" w:pos="4320"/>
        <w:tab w:val="right" w:pos="8640"/>
      </w:tabs>
    </w:pPr>
  </w:style>
  <w:style w:type="character" w:customStyle="1" w:styleId="PieddepageCar">
    <w:name w:val="Pied de page Car"/>
    <w:basedOn w:val="Policepardfaut"/>
    <w:link w:val="Pieddepage"/>
    <w:uiPriority w:val="99"/>
    <w:rsid w:val="00017B5B"/>
    <w:rPr>
      <w:rFonts w:ascii="Times New Roman" w:eastAsia="MS ??"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3734</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Kesserwan</dc:creator>
  <cp:keywords/>
  <dc:description/>
  <cp:lastModifiedBy>Louise</cp:lastModifiedBy>
  <cp:revision>2</cp:revision>
  <dcterms:created xsi:type="dcterms:W3CDTF">2017-09-12T18:58:00Z</dcterms:created>
  <dcterms:modified xsi:type="dcterms:W3CDTF">2017-09-12T18:58:00Z</dcterms:modified>
</cp:coreProperties>
</file>