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2A" w:rsidRPr="00213012" w:rsidRDefault="001B24E4" w:rsidP="00324B2A">
      <w:pPr>
        <w:pStyle w:val="Pis"/>
        <w:tabs>
          <w:tab w:val="left" w:pos="5700"/>
        </w:tabs>
        <w:jc w:val="center"/>
        <w:rPr>
          <w:noProof/>
          <w:sz w:val="24"/>
          <w:szCs w:val="24"/>
        </w:rPr>
      </w:pPr>
      <w:bookmarkStart w:id="0" w:name="_GoBack"/>
      <w:bookmarkEnd w:id="0"/>
      <w:r>
        <w:rPr>
          <w:noProof/>
          <w:sz w:val="24"/>
          <w:szCs w:val="24"/>
        </w:rPr>
        <w:drawing>
          <wp:inline distT="0" distB="0" distL="0" distR="0">
            <wp:extent cx="737235" cy="819150"/>
            <wp:effectExtent l="0" t="0" r="571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235" cy="819150"/>
                    </a:xfrm>
                    <a:prstGeom prst="rect">
                      <a:avLst/>
                    </a:prstGeom>
                    <a:noFill/>
                    <a:ln>
                      <a:noFill/>
                    </a:ln>
                  </pic:spPr>
                </pic:pic>
              </a:graphicData>
            </a:graphic>
          </wp:inline>
        </w:drawing>
      </w:r>
    </w:p>
    <w:p w:rsidR="00324B2A" w:rsidRPr="00883A36" w:rsidRDefault="00324B2A" w:rsidP="00324B2A">
      <w:pPr>
        <w:pStyle w:val="Pis"/>
        <w:tabs>
          <w:tab w:val="left" w:pos="5700"/>
        </w:tabs>
        <w:jc w:val="center"/>
        <w:rPr>
          <w:b/>
          <w:noProof/>
        </w:rPr>
      </w:pPr>
    </w:p>
    <w:p w:rsidR="00324B2A" w:rsidRPr="00883A36" w:rsidRDefault="00324B2A" w:rsidP="00324B2A">
      <w:pPr>
        <w:pStyle w:val="Pis"/>
        <w:tabs>
          <w:tab w:val="center" w:pos="4320"/>
          <w:tab w:val="center" w:pos="4394"/>
        </w:tabs>
        <w:jc w:val="center"/>
        <w:rPr>
          <w:noProof/>
          <w:spacing w:val="80"/>
          <w:lang w:val="fi-FI"/>
        </w:rPr>
      </w:pPr>
      <w:r w:rsidRPr="00883A36">
        <w:rPr>
          <w:noProof/>
          <w:spacing w:val="80"/>
          <w:sz w:val="44"/>
          <w:szCs w:val="44"/>
          <w:lang w:val="fi-FI"/>
        </w:rPr>
        <w:t>KOHTUOTSUS</w:t>
      </w:r>
    </w:p>
    <w:p w:rsidR="00324B2A" w:rsidRPr="0090403B" w:rsidRDefault="00324B2A" w:rsidP="00324B2A">
      <w:pPr>
        <w:pStyle w:val="Pis"/>
        <w:tabs>
          <w:tab w:val="center" w:pos="4320"/>
          <w:tab w:val="center" w:pos="4394"/>
        </w:tabs>
        <w:jc w:val="center"/>
        <w:rPr>
          <w:noProof/>
          <w:sz w:val="24"/>
          <w:szCs w:val="24"/>
          <w:lang w:val="fi-FI"/>
        </w:rPr>
      </w:pPr>
      <w:r w:rsidRPr="0090403B">
        <w:rPr>
          <w:noProof/>
          <w:sz w:val="24"/>
          <w:szCs w:val="24"/>
          <w:lang w:val="fi-FI"/>
        </w:rPr>
        <w:t>EESTI VABARIIGI NIMEL</w:t>
      </w:r>
    </w:p>
    <w:p w:rsidR="00324B2A" w:rsidRPr="00572E40" w:rsidRDefault="00324B2A" w:rsidP="005A2AE2">
      <w:pPr>
        <w:pStyle w:val="Pis"/>
        <w:tabs>
          <w:tab w:val="left" w:pos="6315"/>
        </w:tabs>
        <w:rPr>
          <w:noProof/>
          <w:sz w:val="22"/>
          <w:szCs w:val="22"/>
          <w:lang w:val="fi-FI"/>
        </w:rPr>
      </w:pPr>
    </w:p>
    <w:p w:rsidR="005A2AE2" w:rsidRPr="00572E40" w:rsidRDefault="005A2AE2" w:rsidP="005A2AE2">
      <w:pPr>
        <w:pStyle w:val="Pis"/>
        <w:tabs>
          <w:tab w:val="left" w:pos="6315"/>
        </w:tabs>
        <w:rPr>
          <w:noProof/>
          <w:sz w:val="24"/>
          <w:szCs w:val="24"/>
          <w:lang w:val="fi-FI"/>
        </w:rPr>
      </w:pPr>
      <w:r w:rsidRPr="00883A36">
        <w:rPr>
          <w:noProof/>
          <w:lang w:val="fi-FI"/>
        </w:rPr>
        <w:tab/>
      </w:r>
    </w:p>
    <w:p w:rsidR="005A2AE2" w:rsidRPr="00DB226E" w:rsidRDefault="005A2AE2" w:rsidP="005A2AE2">
      <w:pPr>
        <w:pStyle w:val="Pis"/>
        <w:rPr>
          <w:noProof/>
          <w:sz w:val="24"/>
          <w:szCs w:val="24"/>
          <w:lang w:val="fi-FI"/>
        </w:rPr>
      </w:pPr>
    </w:p>
    <w:tbl>
      <w:tblPr>
        <w:tblW w:w="9888" w:type="dxa"/>
        <w:tblLayout w:type="fixed"/>
        <w:tblLook w:val="0000" w:firstRow="0" w:lastRow="0" w:firstColumn="0" w:lastColumn="0" w:noHBand="0" w:noVBand="0"/>
      </w:tblPr>
      <w:tblGrid>
        <w:gridCol w:w="3708"/>
        <w:gridCol w:w="6180"/>
      </w:tblGrid>
      <w:tr w:rsidR="005A2AE2" w:rsidRPr="00DB226E">
        <w:tc>
          <w:tcPr>
            <w:tcW w:w="3708" w:type="dxa"/>
          </w:tcPr>
          <w:p w:rsidR="005A2AE2" w:rsidRPr="00DB226E" w:rsidRDefault="005A2AE2" w:rsidP="005A2AE2">
            <w:pPr>
              <w:spacing w:before="60" w:after="60" w:line="360" w:lineRule="auto"/>
              <w:rPr>
                <w:b/>
                <w:noProof/>
                <w:sz w:val="24"/>
                <w:szCs w:val="24"/>
              </w:rPr>
            </w:pPr>
            <w:r w:rsidRPr="00DB226E">
              <w:rPr>
                <w:b/>
                <w:noProof/>
                <w:sz w:val="24"/>
                <w:szCs w:val="24"/>
              </w:rPr>
              <w:t>Kohus</w:t>
            </w:r>
          </w:p>
        </w:tc>
        <w:tc>
          <w:tcPr>
            <w:tcW w:w="6180" w:type="dxa"/>
          </w:tcPr>
          <w:p w:rsidR="005A2AE2" w:rsidRPr="00DB226E" w:rsidRDefault="005A2AE2" w:rsidP="005A2AE2">
            <w:pPr>
              <w:spacing w:before="60" w:after="60"/>
              <w:jc w:val="both"/>
              <w:rPr>
                <w:noProof/>
                <w:sz w:val="24"/>
                <w:szCs w:val="24"/>
                <w:lang w:val="fi-FI"/>
              </w:rPr>
            </w:pPr>
            <w:r w:rsidRPr="00DB226E">
              <w:rPr>
                <w:noProof/>
                <w:sz w:val="24"/>
                <w:szCs w:val="24"/>
                <w:lang w:val="fi-FI"/>
              </w:rPr>
              <w:t>Tartu Ringkonnakohus</w:t>
            </w:r>
          </w:p>
        </w:tc>
      </w:tr>
      <w:tr w:rsidR="005A2AE2" w:rsidRPr="00DB226E">
        <w:tc>
          <w:tcPr>
            <w:tcW w:w="3708" w:type="dxa"/>
          </w:tcPr>
          <w:p w:rsidR="005A2AE2" w:rsidRPr="00DB226E" w:rsidRDefault="005A2AE2" w:rsidP="005A2AE2">
            <w:pPr>
              <w:spacing w:before="60" w:after="60" w:line="360" w:lineRule="auto"/>
              <w:rPr>
                <w:b/>
                <w:noProof/>
                <w:sz w:val="24"/>
                <w:szCs w:val="24"/>
              </w:rPr>
            </w:pPr>
            <w:r w:rsidRPr="00DB226E">
              <w:rPr>
                <w:b/>
                <w:noProof/>
                <w:sz w:val="24"/>
                <w:szCs w:val="24"/>
              </w:rPr>
              <w:t>Kohtukoosseis</w:t>
            </w:r>
          </w:p>
        </w:tc>
        <w:tc>
          <w:tcPr>
            <w:tcW w:w="6180" w:type="dxa"/>
          </w:tcPr>
          <w:p w:rsidR="005A2AE2" w:rsidRPr="00DB226E" w:rsidRDefault="000975D7" w:rsidP="000975D7">
            <w:pPr>
              <w:spacing w:before="60" w:after="60"/>
              <w:jc w:val="both"/>
              <w:rPr>
                <w:noProof/>
                <w:sz w:val="24"/>
                <w:szCs w:val="24"/>
              </w:rPr>
            </w:pPr>
            <w:r>
              <w:rPr>
                <w:sz w:val="24"/>
                <w:szCs w:val="24"/>
              </w:rPr>
              <w:t>Viivi Tomson</w:t>
            </w:r>
            <w:r w:rsidR="008A0689">
              <w:rPr>
                <w:sz w:val="24"/>
                <w:szCs w:val="24"/>
              </w:rPr>
              <w:t xml:space="preserve">, </w:t>
            </w:r>
            <w:r>
              <w:rPr>
                <w:sz w:val="24"/>
                <w:szCs w:val="24"/>
              </w:rPr>
              <w:t>Triin Uusen-Nacke</w:t>
            </w:r>
            <w:r w:rsidR="008A0689">
              <w:rPr>
                <w:noProof/>
                <w:sz w:val="24"/>
                <w:szCs w:val="24"/>
              </w:rPr>
              <w:t>, Üllar Roostoja</w:t>
            </w:r>
          </w:p>
        </w:tc>
      </w:tr>
      <w:tr w:rsidR="005A2AE2" w:rsidRPr="00DB226E">
        <w:tc>
          <w:tcPr>
            <w:tcW w:w="3708" w:type="dxa"/>
          </w:tcPr>
          <w:p w:rsidR="005A2AE2" w:rsidRPr="00DB226E" w:rsidRDefault="005A2AE2" w:rsidP="005A2AE2">
            <w:pPr>
              <w:spacing w:before="60" w:after="60" w:line="360" w:lineRule="auto"/>
              <w:rPr>
                <w:b/>
                <w:noProof/>
                <w:sz w:val="24"/>
                <w:szCs w:val="24"/>
              </w:rPr>
            </w:pPr>
            <w:r w:rsidRPr="00DB226E">
              <w:rPr>
                <w:b/>
                <w:noProof/>
                <w:sz w:val="24"/>
                <w:szCs w:val="24"/>
              </w:rPr>
              <w:t>Otsuse tegemise aeg ja koht</w:t>
            </w:r>
          </w:p>
        </w:tc>
        <w:tc>
          <w:tcPr>
            <w:tcW w:w="6180" w:type="dxa"/>
          </w:tcPr>
          <w:p w:rsidR="005A2AE2" w:rsidRPr="00DB226E" w:rsidRDefault="00AF63E3" w:rsidP="001453D8">
            <w:pPr>
              <w:spacing w:before="60" w:after="60" w:line="360" w:lineRule="auto"/>
              <w:jc w:val="both"/>
              <w:rPr>
                <w:b/>
                <w:noProof/>
                <w:sz w:val="24"/>
                <w:szCs w:val="24"/>
                <w:lang w:val="fi-FI"/>
              </w:rPr>
            </w:pPr>
            <w:r>
              <w:rPr>
                <w:noProof/>
                <w:sz w:val="24"/>
                <w:szCs w:val="24"/>
              </w:rPr>
              <w:t>17</w:t>
            </w:r>
            <w:r w:rsidR="005A2AE2" w:rsidRPr="00DB226E">
              <w:rPr>
                <w:noProof/>
                <w:sz w:val="24"/>
                <w:szCs w:val="24"/>
              </w:rPr>
              <w:t xml:space="preserve">. </w:t>
            </w:r>
            <w:r>
              <w:rPr>
                <w:noProof/>
                <w:sz w:val="24"/>
                <w:szCs w:val="24"/>
              </w:rPr>
              <w:t xml:space="preserve">mai </w:t>
            </w:r>
            <w:r w:rsidR="005A2AE2" w:rsidRPr="00DB226E">
              <w:rPr>
                <w:noProof/>
                <w:sz w:val="24"/>
                <w:szCs w:val="24"/>
              </w:rPr>
              <w:t>20</w:t>
            </w:r>
            <w:r w:rsidR="0034387A">
              <w:rPr>
                <w:noProof/>
                <w:sz w:val="24"/>
                <w:szCs w:val="24"/>
              </w:rPr>
              <w:t>1</w:t>
            </w:r>
            <w:r w:rsidR="001453D8">
              <w:rPr>
                <w:noProof/>
                <w:sz w:val="24"/>
                <w:szCs w:val="24"/>
              </w:rPr>
              <w:t>9</w:t>
            </w:r>
            <w:r w:rsidR="003F5E80">
              <w:rPr>
                <w:noProof/>
                <w:sz w:val="24"/>
                <w:szCs w:val="24"/>
              </w:rPr>
              <w:t>,</w:t>
            </w:r>
            <w:r w:rsidR="005A2AE2" w:rsidRPr="00DB226E">
              <w:rPr>
                <w:noProof/>
                <w:sz w:val="24"/>
                <w:szCs w:val="24"/>
              </w:rPr>
              <w:t xml:space="preserve"> Tartu</w:t>
            </w:r>
          </w:p>
        </w:tc>
      </w:tr>
      <w:tr w:rsidR="00E14A12" w:rsidRPr="00DB226E">
        <w:tc>
          <w:tcPr>
            <w:tcW w:w="3708" w:type="dxa"/>
          </w:tcPr>
          <w:p w:rsidR="00E14A12" w:rsidRPr="00DB226E" w:rsidRDefault="00E14A12" w:rsidP="00E14A12">
            <w:pPr>
              <w:spacing w:before="60" w:after="60" w:line="360" w:lineRule="auto"/>
              <w:rPr>
                <w:b/>
                <w:noProof/>
                <w:sz w:val="24"/>
                <w:szCs w:val="24"/>
              </w:rPr>
            </w:pPr>
            <w:r w:rsidRPr="00DB226E">
              <w:rPr>
                <w:b/>
                <w:noProof/>
                <w:sz w:val="24"/>
                <w:szCs w:val="24"/>
              </w:rPr>
              <w:t>Tsiviilasja number</w:t>
            </w:r>
          </w:p>
        </w:tc>
        <w:tc>
          <w:tcPr>
            <w:tcW w:w="6180" w:type="dxa"/>
          </w:tcPr>
          <w:p w:rsidR="00E14A12" w:rsidRPr="009745C5" w:rsidRDefault="00E14A12" w:rsidP="00E14A12">
            <w:pPr>
              <w:spacing w:before="60" w:after="60"/>
              <w:jc w:val="both"/>
              <w:rPr>
                <w:noProof/>
                <w:sz w:val="24"/>
                <w:szCs w:val="24"/>
              </w:rPr>
            </w:pPr>
            <w:r>
              <w:rPr>
                <w:noProof/>
                <w:sz w:val="24"/>
                <w:szCs w:val="24"/>
              </w:rPr>
              <w:t>2-17-10049</w:t>
            </w:r>
          </w:p>
        </w:tc>
      </w:tr>
      <w:tr w:rsidR="00E14A12" w:rsidRPr="00DB226E">
        <w:tc>
          <w:tcPr>
            <w:tcW w:w="3708" w:type="dxa"/>
          </w:tcPr>
          <w:p w:rsidR="00E14A12" w:rsidRPr="00DB226E" w:rsidRDefault="00E14A12" w:rsidP="00E14A12">
            <w:pPr>
              <w:spacing w:before="60" w:after="60" w:line="360" w:lineRule="auto"/>
              <w:rPr>
                <w:b/>
                <w:noProof/>
                <w:sz w:val="24"/>
                <w:szCs w:val="24"/>
              </w:rPr>
            </w:pPr>
            <w:r w:rsidRPr="00DB226E">
              <w:rPr>
                <w:b/>
                <w:noProof/>
                <w:sz w:val="24"/>
                <w:szCs w:val="24"/>
              </w:rPr>
              <w:t>Tsiviilasi</w:t>
            </w:r>
          </w:p>
        </w:tc>
        <w:tc>
          <w:tcPr>
            <w:tcW w:w="6180" w:type="dxa"/>
          </w:tcPr>
          <w:p w:rsidR="00E14A12" w:rsidRPr="00334636" w:rsidRDefault="00E14A12" w:rsidP="00E14A12">
            <w:pPr>
              <w:spacing w:before="60" w:after="60"/>
              <w:jc w:val="both"/>
              <w:rPr>
                <w:b/>
                <w:noProof/>
                <w:sz w:val="24"/>
                <w:szCs w:val="24"/>
              </w:rPr>
            </w:pPr>
            <w:r>
              <w:rPr>
                <w:b/>
                <w:noProof/>
                <w:sz w:val="24"/>
                <w:szCs w:val="24"/>
              </w:rPr>
              <w:t xml:space="preserve">Osaühingu Pusku Invest </w:t>
            </w:r>
            <w:r w:rsidRPr="00334636">
              <w:rPr>
                <w:b/>
                <w:noProof/>
                <w:sz w:val="24"/>
                <w:szCs w:val="24"/>
              </w:rPr>
              <w:t xml:space="preserve">hagi </w:t>
            </w:r>
            <w:r w:rsidR="00D90638">
              <w:rPr>
                <w:b/>
                <w:noProof/>
                <w:sz w:val="24"/>
                <w:szCs w:val="24"/>
              </w:rPr>
              <w:t>m</w:t>
            </w:r>
            <w:r>
              <w:rPr>
                <w:b/>
                <w:noProof/>
                <w:sz w:val="24"/>
                <w:szCs w:val="24"/>
              </w:rPr>
              <w:t>ittetulundusühingu „Kesk</w:t>
            </w:r>
            <w:r>
              <w:rPr>
                <w:b/>
                <w:noProof/>
                <w:sz w:val="24"/>
                <w:szCs w:val="24"/>
              </w:rPr>
              <w:noBreakHyphen/>
              <w:t xml:space="preserve">Eesti Metsaomanikud“ </w:t>
            </w:r>
            <w:r w:rsidRPr="00334636">
              <w:rPr>
                <w:b/>
                <w:noProof/>
                <w:sz w:val="24"/>
                <w:szCs w:val="24"/>
              </w:rPr>
              <w:t xml:space="preserve">vastu </w:t>
            </w:r>
            <w:r>
              <w:rPr>
                <w:b/>
                <w:noProof/>
                <w:sz w:val="24"/>
                <w:szCs w:val="24"/>
              </w:rPr>
              <w:t xml:space="preserve">võlgnevuse </w:t>
            </w:r>
            <w:r w:rsidR="00B158C9">
              <w:rPr>
                <w:b/>
                <w:noProof/>
                <w:sz w:val="24"/>
                <w:szCs w:val="24"/>
              </w:rPr>
              <w:t xml:space="preserve">ja viivise </w:t>
            </w:r>
            <w:r w:rsidRPr="00334636">
              <w:rPr>
                <w:b/>
                <w:noProof/>
                <w:sz w:val="24"/>
                <w:szCs w:val="24"/>
              </w:rPr>
              <w:t>väljamõistmiseks</w:t>
            </w:r>
          </w:p>
        </w:tc>
      </w:tr>
      <w:tr w:rsidR="00A84E5B" w:rsidRPr="00DB226E">
        <w:tc>
          <w:tcPr>
            <w:tcW w:w="3708" w:type="dxa"/>
          </w:tcPr>
          <w:p w:rsidR="00A84E5B" w:rsidRPr="00FF0162" w:rsidRDefault="00A84E5B" w:rsidP="00A649A5">
            <w:pPr>
              <w:spacing w:before="60" w:after="60"/>
              <w:rPr>
                <w:b/>
                <w:sz w:val="24"/>
                <w:szCs w:val="24"/>
              </w:rPr>
            </w:pPr>
            <w:r w:rsidRPr="00FF0162">
              <w:rPr>
                <w:b/>
                <w:sz w:val="24"/>
                <w:szCs w:val="24"/>
              </w:rPr>
              <w:t>Tsiviilasja hind</w:t>
            </w:r>
            <w:r w:rsidR="00674BBD" w:rsidRPr="00FF0162">
              <w:rPr>
                <w:b/>
                <w:sz w:val="24"/>
                <w:szCs w:val="24"/>
              </w:rPr>
              <w:t xml:space="preserve"> apellatsioonikohtus</w:t>
            </w:r>
          </w:p>
        </w:tc>
        <w:tc>
          <w:tcPr>
            <w:tcW w:w="6180" w:type="dxa"/>
          </w:tcPr>
          <w:p w:rsidR="00A84E5B" w:rsidRPr="00DB226E" w:rsidRDefault="00E14A12" w:rsidP="005A2AE2">
            <w:pPr>
              <w:spacing w:before="60" w:after="60"/>
              <w:jc w:val="both"/>
              <w:rPr>
                <w:noProof/>
                <w:sz w:val="24"/>
                <w:szCs w:val="24"/>
              </w:rPr>
            </w:pPr>
            <w:r>
              <w:rPr>
                <w:noProof/>
                <w:sz w:val="24"/>
                <w:szCs w:val="24"/>
              </w:rPr>
              <w:t>5716,07</w:t>
            </w:r>
            <w:r w:rsidR="00FC163F">
              <w:rPr>
                <w:noProof/>
                <w:sz w:val="24"/>
                <w:szCs w:val="24"/>
              </w:rPr>
              <w:t> euro</w:t>
            </w:r>
            <w:r>
              <w:rPr>
                <w:noProof/>
                <w:sz w:val="24"/>
                <w:szCs w:val="24"/>
              </w:rPr>
              <w:t>t</w:t>
            </w:r>
          </w:p>
        </w:tc>
      </w:tr>
      <w:tr w:rsidR="005A2AE2" w:rsidRPr="00DB226E">
        <w:tc>
          <w:tcPr>
            <w:tcW w:w="3708" w:type="dxa"/>
          </w:tcPr>
          <w:p w:rsidR="005A2AE2" w:rsidRPr="00DB226E" w:rsidRDefault="005A2AE2" w:rsidP="00A649A5">
            <w:pPr>
              <w:spacing w:before="60" w:after="60" w:line="360" w:lineRule="auto"/>
              <w:rPr>
                <w:b/>
                <w:noProof/>
                <w:sz w:val="24"/>
                <w:szCs w:val="24"/>
              </w:rPr>
            </w:pPr>
            <w:r w:rsidRPr="00DB226E">
              <w:rPr>
                <w:b/>
                <w:noProof/>
                <w:sz w:val="24"/>
                <w:szCs w:val="24"/>
              </w:rPr>
              <w:t>Vaidlustatud kohtulahend</w:t>
            </w:r>
          </w:p>
        </w:tc>
        <w:tc>
          <w:tcPr>
            <w:tcW w:w="6180" w:type="dxa"/>
          </w:tcPr>
          <w:p w:rsidR="005A2AE2" w:rsidRPr="00DB226E" w:rsidRDefault="005A2AE2" w:rsidP="00254149">
            <w:pPr>
              <w:spacing w:before="60" w:after="60" w:line="360" w:lineRule="auto"/>
              <w:jc w:val="both"/>
              <w:rPr>
                <w:b/>
                <w:noProof/>
                <w:sz w:val="24"/>
                <w:szCs w:val="24"/>
              </w:rPr>
            </w:pPr>
            <w:r w:rsidRPr="00DB226E">
              <w:rPr>
                <w:noProof/>
                <w:sz w:val="24"/>
                <w:szCs w:val="24"/>
                <w:lang w:val="fi-FI"/>
              </w:rPr>
              <w:t xml:space="preserve">Tartu Maakohtu </w:t>
            </w:r>
            <w:r w:rsidR="00254149">
              <w:rPr>
                <w:noProof/>
                <w:sz w:val="24"/>
                <w:szCs w:val="24"/>
                <w:lang w:val="fi-FI"/>
              </w:rPr>
              <w:t>24</w:t>
            </w:r>
            <w:r w:rsidRPr="00DB226E">
              <w:rPr>
                <w:noProof/>
                <w:sz w:val="24"/>
                <w:szCs w:val="24"/>
                <w:lang w:val="fi-FI"/>
              </w:rPr>
              <w:t>.</w:t>
            </w:r>
            <w:r w:rsidR="00254149">
              <w:rPr>
                <w:noProof/>
                <w:sz w:val="24"/>
                <w:szCs w:val="24"/>
                <w:lang w:val="fi-FI"/>
              </w:rPr>
              <w:t xml:space="preserve"> jaanuari </w:t>
            </w:r>
            <w:r w:rsidRPr="00DB226E">
              <w:rPr>
                <w:noProof/>
                <w:sz w:val="24"/>
                <w:szCs w:val="24"/>
                <w:lang w:val="fi-FI"/>
              </w:rPr>
              <w:t>20</w:t>
            </w:r>
            <w:r w:rsidR="00D109BD">
              <w:rPr>
                <w:noProof/>
                <w:sz w:val="24"/>
                <w:szCs w:val="24"/>
                <w:lang w:val="fi-FI"/>
              </w:rPr>
              <w:t>1</w:t>
            </w:r>
            <w:r w:rsidR="00FE562F">
              <w:rPr>
                <w:noProof/>
                <w:sz w:val="24"/>
                <w:szCs w:val="24"/>
                <w:lang w:val="fi-FI"/>
              </w:rPr>
              <w:t>9</w:t>
            </w:r>
            <w:r w:rsidRPr="00DB226E">
              <w:rPr>
                <w:noProof/>
                <w:sz w:val="24"/>
                <w:szCs w:val="24"/>
                <w:lang w:val="fi-FI"/>
              </w:rPr>
              <w:t xml:space="preserve"> otsus</w:t>
            </w:r>
          </w:p>
        </w:tc>
      </w:tr>
      <w:tr w:rsidR="005A2AE2" w:rsidRPr="00DB226E">
        <w:tc>
          <w:tcPr>
            <w:tcW w:w="3708" w:type="dxa"/>
          </w:tcPr>
          <w:p w:rsidR="005A2AE2" w:rsidRPr="00DB226E" w:rsidRDefault="005A2AE2" w:rsidP="005A2AE2">
            <w:pPr>
              <w:spacing w:before="60" w:after="60" w:line="360" w:lineRule="auto"/>
              <w:rPr>
                <w:b/>
                <w:noProof/>
                <w:sz w:val="24"/>
                <w:szCs w:val="24"/>
              </w:rPr>
            </w:pPr>
            <w:r w:rsidRPr="00DB226E">
              <w:rPr>
                <w:b/>
                <w:noProof/>
                <w:sz w:val="24"/>
                <w:szCs w:val="24"/>
              </w:rPr>
              <w:t>Kaebuse esitaja ja kaebuse liik</w:t>
            </w:r>
          </w:p>
        </w:tc>
        <w:tc>
          <w:tcPr>
            <w:tcW w:w="6180" w:type="dxa"/>
          </w:tcPr>
          <w:p w:rsidR="005A2AE2" w:rsidRPr="00D45D2C" w:rsidRDefault="00D90638" w:rsidP="00A91D96">
            <w:pPr>
              <w:spacing w:before="60" w:after="60"/>
              <w:jc w:val="both"/>
              <w:rPr>
                <w:sz w:val="24"/>
                <w:szCs w:val="24"/>
              </w:rPr>
            </w:pPr>
            <w:r>
              <w:rPr>
                <w:sz w:val="24"/>
                <w:szCs w:val="24"/>
              </w:rPr>
              <w:t>m</w:t>
            </w:r>
            <w:r w:rsidR="00D45D2C" w:rsidRPr="00D45D2C">
              <w:rPr>
                <w:sz w:val="24"/>
                <w:szCs w:val="24"/>
              </w:rPr>
              <w:t>ittetulundusühingu „Kesk</w:t>
            </w:r>
            <w:r w:rsidR="00D45D2C" w:rsidRPr="00D45D2C">
              <w:rPr>
                <w:sz w:val="24"/>
                <w:szCs w:val="24"/>
              </w:rPr>
              <w:noBreakHyphen/>
              <w:t xml:space="preserve">Eesti Metsaomanikud“ </w:t>
            </w:r>
            <w:r w:rsidR="005A2AE2" w:rsidRPr="00D45D2C">
              <w:rPr>
                <w:sz w:val="24"/>
                <w:szCs w:val="24"/>
              </w:rPr>
              <w:t>apellatsioonkaebus</w:t>
            </w:r>
          </w:p>
        </w:tc>
      </w:tr>
      <w:tr w:rsidR="005A2AE2" w:rsidRPr="00DB226E">
        <w:tc>
          <w:tcPr>
            <w:tcW w:w="3708" w:type="dxa"/>
          </w:tcPr>
          <w:p w:rsidR="005A2AE2" w:rsidRPr="00DB226E" w:rsidRDefault="005A2AE2" w:rsidP="005A2AE2">
            <w:pPr>
              <w:spacing w:before="60" w:after="60" w:line="360" w:lineRule="auto"/>
              <w:rPr>
                <w:b/>
                <w:noProof/>
                <w:sz w:val="24"/>
                <w:szCs w:val="24"/>
              </w:rPr>
            </w:pPr>
            <w:r w:rsidRPr="00DB226E">
              <w:rPr>
                <w:b/>
                <w:noProof/>
                <w:sz w:val="24"/>
                <w:szCs w:val="24"/>
              </w:rPr>
              <w:t>Kohtuistungi toimumise aeg</w:t>
            </w:r>
          </w:p>
        </w:tc>
        <w:tc>
          <w:tcPr>
            <w:tcW w:w="6180" w:type="dxa"/>
          </w:tcPr>
          <w:p w:rsidR="005A2AE2" w:rsidRPr="00DB226E" w:rsidRDefault="006368A0" w:rsidP="001453D8">
            <w:pPr>
              <w:spacing w:before="60" w:after="60"/>
              <w:jc w:val="both"/>
              <w:rPr>
                <w:noProof/>
                <w:sz w:val="24"/>
                <w:szCs w:val="24"/>
              </w:rPr>
            </w:pPr>
            <w:r>
              <w:rPr>
                <w:noProof/>
                <w:sz w:val="24"/>
                <w:szCs w:val="24"/>
              </w:rPr>
              <w:t>Kirjalik menetlus</w:t>
            </w:r>
          </w:p>
        </w:tc>
      </w:tr>
      <w:tr w:rsidR="005A2AE2" w:rsidRPr="00DB226E">
        <w:tc>
          <w:tcPr>
            <w:tcW w:w="3708" w:type="dxa"/>
          </w:tcPr>
          <w:p w:rsidR="005A2AE2" w:rsidRPr="00494ECE" w:rsidRDefault="005A2AE2" w:rsidP="00494ECE">
            <w:pPr>
              <w:rPr>
                <w:b/>
                <w:sz w:val="24"/>
                <w:szCs w:val="24"/>
              </w:rPr>
            </w:pPr>
            <w:r w:rsidRPr="00494ECE">
              <w:rPr>
                <w:b/>
                <w:sz w:val="24"/>
                <w:szCs w:val="24"/>
              </w:rPr>
              <w:t>Menetlusosalised ja nende esindajad</w:t>
            </w:r>
          </w:p>
        </w:tc>
        <w:tc>
          <w:tcPr>
            <w:tcW w:w="6180" w:type="dxa"/>
          </w:tcPr>
          <w:p w:rsidR="005A2AE2" w:rsidRDefault="005A2AE2" w:rsidP="005A2AE2">
            <w:pPr>
              <w:spacing w:before="60" w:after="60"/>
              <w:jc w:val="both"/>
              <w:rPr>
                <w:noProof/>
                <w:sz w:val="24"/>
                <w:szCs w:val="24"/>
              </w:rPr>
            </w:pPr>
            <w:r>
              <w:rPr>
                <w:noProof/>
                <w:sz w:val="24"/>
                <w:szCs w:val="24"/>
              </w:rPr>
              <w:t xml:space="preserve">Apellant </w:t>
            </w:r>
            <w:r w:rsidR="00D45D2C">
              <w:rPr>
                <w:noProof/>
                <w:sz w:val="24"/>
                <w:szCs w:val="24"/>
              </w:rPr>
              <w:t>(k</w:t>
            </w:r>
            <w:r w:rsidR="00D45D2C" w:rsidRPr="00254149">
              <w:rPr>
                <w:sz w:val="24"/>
              </w:rPr>
              <w:t>ostja</w:t>
            </w:r>
            <w:r w:rsidR="00D45D2C">
              <w:rPr>
                <w:sz w:val="24"/>
              </w:rPr>
              <w:t>)</w:t>
            </w:r>
            <w:r w:rsidR="00D90638">
              <w:rPr>
                <w:sz w:val="24"/>
              </w:rPr>
              <w:t>: m</w:t>
            </w:r>
            <w:r w:rsidR="00D45D2C" w:rsidRPr="00254149">
              <w:rPr>
                <w:sz w:val="24"/>
              </w:rPr>
              <w:t>ittetulundusühing „Kesk-Eesti Metsaomanikud“ (rk:</w:t>
            </w:r>
            <w:r w:rsidR="00D45D2C">
              <w:rPr>
                <w:sz w:val="24"/>
              </w:rPr>
              <w:t> </w:t>
            </w:r>
            <w:r w:rsidR="00D45D2C" w:rsidRPr="00254149">
              <w:rPr>
                <w:sz w:val="24"/>
              </w:rPr>
              <w:t xml:space="preserve">80232983), esindaja </w:t>
            </w:r>
            <w:r w:rsidR="00D45D2C">
              <w:rPr>
                <w:sz w:val="24"/>
              </w:rPr>
              <w:t>a</w:t>
            </w:r>
            <w:r w:rsidR="00D45D2C" w:rsidRPr="00254149">
              <w:rPr>
                <w:sz w:val="24"/>
              </w:rPr>
              <w:t>dvokaa</w:t>
            </w:r>
            <w:r w:rsidR="00D45D2C">
              <w:rPr>
                <w:sz w:val="24"/>
              </w:rPr>
              <w:t>t</w:t>
            </w:r>
            <w:r w:rsidR="00D45D2C" w:rsidRPr="00254149">
              <w:rPr>
                <w:sz w:val="24"/>
              </w:rPr>
              <w:t xml:space="preserve"> Allar Laugesaar</w:t>
            </w:r>
          </w:p>
          <w:p w:rsidR="005A2AE2" w:rsidRPr="00DB226E" w:rsidRDefault="005A2AE2" w:rsidP="00B158C9">
            <w:pPr>
              <w:spacing w:before="60" w:after="60"/>
              <w:jc w:val="both"/>
              <w:rPr>
                <w:noProof/>
                <w:sz w:val="24"/>
                <w:szCs w:val="24"/>
              </w:rPr>
            </w:pPr>
            <w:r>
              <w:rPr>
                <w:noProof/>
                <w:sz w:val="24"/>
                <w:szCs w:val="24"/>
              </w:rPr>
              <w:t xml:space="preserve">Vastustaja </w:t>
            </w:r>
            <w:r w:rsidR="00D45D2C">
              <w:rPr>
                <w:noProof/>
                <w:sz w:val="24"/>
                <w:szCs w:val="24"/>
              </w:rPr>
              <w:t>(h</w:t>
            </w:r>
            <w:proofErr w:type="spellStart"/>
            <w:r w:rsidR="00D45D2C" w:rsidRPr="00254149">
              <w:rPr>
                <w:sz w:val="24"/>
              </w:rPr>
              <w:t>ageja</w:t>
            </w:r>
            <w:proofErr w:type="spellEnd"/>
            <w:r w:rsidR="00D45D2C">
              <w:rPr>
                <w:sz w:val="24"/>
              </w:rPr>
              <w:t>)</w:t>
            </w:r>
            <w:r w:rsidR="00D45D2C" w:rsidRPr="00254149">
              <w:rPr>
                <w:sz w:val="24"/>
              </w:rPr>
              <w:t xml:space="preserve">: </w:t>
            </w:r>
            <w:r w:rsidR="00B158C9">
              <w:rPr>
                <w:sz w:val="24"/>
              </w:rPr>
              <w:t>O</w:t>
            </w:r>
            <w:r w:rsidR="00153837">
              <w:rPr>
                <w:sz w:val="24"/>
              </w:rPr>
              <w:t xml:space="preserve">saühing Pusku </w:t>
            </w:r>
            <w:proofErr w:type="spellStart"/>
            <w:r w:rsidR="00153837">
              <w:rPr>
                <w:sz w:val="24"/>
              </w:rPr>
              <w:t>Invest</w:t>
            </w:r>
            <w:proofErr w:type="spellEnd"/>
            <w:r w:rsidR="00D45D2C" w:rsidRPr="00254149">
              <w:rPr>
                <w:sz w:val="24"/>
              </w:rPr>
              <w:t xml:space="preserve"> (rk:</w:t>
            </w:r>
            <w:r w:rsidR="00D45D2C">
              <w:rPr>
                <w:sz w:val="24"/>
              </w:rPr>
              <w:t> 10260819</w:t>
            </w:r>
            <w:r w:rsidR="00D45D2C" w:rsidRPr="00254149">
              <w:rPr>
                <w:sz w:val="24"/>
              </w:rPr>
              <w:t xml:space="preserve">), esindaja vandeadvokaat Maili </w:t>
            </w:r>
            <w:proofErr w:type="spellStart"/>
            <w:r w:rsidR="00D45D2C" w:rsidRPr="00254149">
              <w:rPr>
                <w:sz w:val="24"/>
              </w:rPr>
              <w:t>Riisenberg</w:t>
            </w:r>
            <w:proofErr w:type="spellEnd"/>
          </w:p>
        </w:tc>
      </w:tr>
    </w:tbl>
    <w:p w:rsidR="00B9350F" w:rsidRDefault="00B9350F" w:rsidP="005A2AE2">
      <w:pPr>
        <w:pStyle w:val="Pis"/>
        <w:rPr>
          <w:b/>
          <w:noProof/>
          <w:sz w:val="24"/>
          <w:szCs w:val="24"/>
        </w:rPr>
      </w:pPr>
    </w:p>
    <w:p w:rsidR="005A2AE2" w:rsidRDefault="00B9350F" w:rsidP="007E3773">
      <w:pPr>
        <w:pStyle w:val="Pis"/>
        <w:spacing w:before="60" w:after="60"/>
        <w:rPr>
          <w:b/>
          <w:noProof/>
          <w:sz w:val="24"/>
          <w:szCs w:val="24"/>
        </w:rPr>
      </w:pPr>
      <w:r w:rsidRPr="00DB226E">
        <w:rPr>
          <w:b/>
          <w:noProof/>
          <w:sz w:val="24"/>
          <w:szCs w:val="24"/>
        </w:rPr>
        <w:t>RESOLUTSIOON</w:t>
      </w:r>
    </w:p>
    <w:p w:rsidR="00B9350F" w:rsidRDefault="008D23D1" w:rsidP="008D23D1">
      <w:pPr>
        <w:spacing w:before="60" w:after="60"/>
        <w:jc w:val="both"/>
        <w:rPr>
          <w:b/>
          <w:noProof/>
          <w:sz w:val="24"/>
          <w:szCs w:val="24"/>
        </w:rPr>
      </w:pPr>
      <w:r>
        <w:rPr>
          <w:b/>
          <w:noProof/>
          <w:sz w:val="24"/>
          <w:szCs w:val="24"/>
        </w:rPr>
        <w:t>1. Jätta apellatsioonkaebus rahuldamata ja Tartu Maakohtu 24. jaanuari 2019 otsus muutmata.</w:t>
      </w:r>
    </w:p>
    <w:p w:rsidR="008D23D1" w:rsidRDefault="008D23D1" w:rsidP="008D23D1">
      <w:pPr>
        <w:spacing w:before="60" w:after="60"/>
        <w:jc w:val="both"/>
        <w:rPr>
          <w:b/>
          <w:noProof/>
          <w:sz w:val="24"/>
          <w:szCs w:val="24"/>
        </w:rPr>
      </w:pPr>
      <w:r>
        <w:rPr>
          <w:b/>
          <w:noProof/>
          <w:sz w:val="24"/>
          <w:szCs w:val="24"/>
        </w:rPr>
        <w:lastRenderedPageBreak/>
        <w:t>2. Jätta</w:t>
      </w:r>
      <w:r w:rsidR="00D90638">
        <w:rPr>
          <w:b/>
          <w:noProof/>
          <w:sz w:val="24"/>
          <w:szCs w:val="24"/>
        </w:rPr>
        <w:t xml:space="preserve"> menetluskulud ringkonnakohtus m</w:t>
      </w:r>
      <w:r>
        <w:rPr>
          <w:b/>
          <w:noProof/>
          <w:sz w:val="24"/>
          <w:szCs w:val="24"/>
        </w:rPr>
        <w:t>ittetulundusühing „Kesk-Eesti Metsaomanikud“ kanda.</w:t>
      </w:r>
    </w:p>
    <w:p w:rsidR="001E65B9" w:rsidRDefault="008D23D1" w:rsidP="008D23D1">
      <w:pPr>
        <w:spacing w:before="60" w:after="60"/>
        <w:jc w:val="both"/>
        <w:rPr>
          <w:b/>
          <w:noProof/>
          <w:sz w:val="24"/>
          <w:szCs w:val="24"/>
        </w:rPr>
      </w:pPr>
      <w:r>
        <w:rPr>
          <w:b/>
          <w:noProof/>
          <w:sz w:val="24"/>
          <w:szCs w:val="24"/>
        </w:rPr>
        <w:t>3.</w:t>
      </w:r>
      <w:r w:rsidR="001E65B9">
        <w:rPr>
          <w:b/>
          <w:noProof/>
          <w:sz w:val="24"/>
          <w:szCs w:val="24"/>
        </w:rPr>
        <w:t xml:space="preserve"> Välja mõista mittetulundusühingult „Kesk-Eesti Metsaomanikud“ Osaühingu Pusku Invest kasuks ringkonnakohtus kantud menetluskulude katteks 200 eurot.</w:t>
      </w:r>
    </w:p>
    <w:p w:rsidR="008D23D1" w:rsidRDefault="008D23D1" w:rsidP="008D23D1">
      <w:pPr>
        <w:spacing w:before="60" w:after="60"/>
        <w:jc w:val="both"/>
        <w:rPr>
          <w:b/>
          <w:noProof/>
          <w:sz w:val="24"/>
          <w:szCs w:val="24"/>
        </w:rPr>
      </w:pPr>
    </w:p>
    <w:p w:rsidR="00B9350F" w:rsidRDefault="00B9350F" w:rsidP="005A2AE2">
      <w:pPr>
        <w:rPr>
          <w:b/>
          <w:noProof/>
          <w:sz w:val="24"/>
          <w:szCs w:val="24"/>
        </w:rPr>
      </w:pPr>
      <w:r w:rsidRPr="00DB226E">
        <w:rPr>
          <w:b/>
          <w:noProof/>
          <w:sz w:val="24"/>
          <w:szCs w:val="24"/>
        </w:rPr>
        <w:t>Edasikaebamise kord</w:t>
      </w:r>
    </w:p>
    <w:p w:rsidR="00B9350F" w:rsidRDefault="00B9350F" w:rsidP="00C63D5F">
      <w:pPr>
        <w:spacing w:before="60" w:after="60"/>
        <w:jc w:val="both"/>
        <w:rPr>
          <w:sz w:val="24"/>
          <w:szCs w:val="24"/>
        </w:rPr>
      </w:pPr>
      <w:r w:rsidRPr="00DB226E">
        <w:rPr>
          <w:sz w:val="24"/>
          <w:szCs w:val="24"/>
        </w:rPr>
        <w:t>Otsuse peale võib esitada kassatsioonkaebuse Riigikohtule 30</w:t>
      </w:r>
      <w:r w:rsidR="00950950">
        <w:rPr>
          <w:sz w:val="24"/>
          <w:szCs w:val="24"/>
        </w:rPr>
        <w:t> </w:t>
      </w:r>
      <w:r w:rsidRPr="00DB226E">
        <w:rPr>
          <w:sz w:val="24"/>
          <w:szCs w:val="24"/>
        </w:rPr>
        <w:t>päeva jooksul otsus</w:t>
      </w:r>
      <w:r>
        <w:rPr>
          <w:sz w:val="24"/>
          <w:szCs w:val="24"/>
        </w:rPr>
        <w:t xml:space="preserve">e </w:t>
      </w:r>
      <w:r w:rsidRPr="00DB226E">
        <w:rPr>
          <w:sz w:val="24"/>
          <w:szCs w:val="24"/>
        </w:rPr>
        <w:t>kättetoimetamisest</w:t>
      </w:r>
      <w:r>
        <w:rPr>
          <w:sz w:val="24"/>
          <w:szCs w:val="24"/>
        </w:rPr>
        <w:t>.</w:t>
      </w:r>
    </w:p>
    <w:p w:rsidR="00B9350F" w:rsidRDefault="00B9350F" w:rsidP="00C63D5F">
      <w:pPr>
        <w:spacing w:after="100"/>
        <w:jc w:val="both"/>
        <w:rPr>
          <w:noProof/>
          <w:sz w:val="24"/>
          <w:szCs w:val="24"/>
        </w:rPr>
      </w:pPr>
      <w:r>
        <w:rPr>
          <w:noProof/>
          <w:sz w:val="24"/>
          <w:szCs w:val="24"/>
        </w:rPr>
        <w:t>Hagimenetluses Riigikohtus võib menetlusosaline menetlustoiminguid teha ning avaldusi ja taotlusi esitada üksnes vandeadvokaadi vahendusel, kui seaduses ei ole sätestatud teisiti.</w:t>
      </w:r>
    </w:p>
    <w:p w:rsidR="00B9350F" w:rsidRDefault="00B9350F" w:rsidP="00C63D5F">
      <w:pPr>
        <w:jc w:val="both"/>
        <w:rPr>
          <w:noProof/>
          <w:sz w:val="24"/>
          <w:szCs w:val="24"/>
        </w:rPr>
      </w:pPr>
      <w:r>
        <w:rPr>
          <w:noProof/>
          <w:sz w:val="24"/>
          <w:szCs w:val="24"/>
        </w:rPr>
        <w:t>Juhul, kui menetlusosaline taotleb menetlusabi, peab ta esitama tähtaja kestel kassatsioonkaebuse. Kaebuse põhjendamiseks või riigilõivu tasumiseks või kaebuses esineva sellise puuduse kõrvaldamiseks, mis on seotud menetlusabi taotlemisega, annab kohus mõistliku tähtaja pärast menetlusabi taotluse lahendamist, kui nimetatud taotlus ei ole esitatud põhjendamatult või tähtaja pikendamise eesmärgil.</w:t>
      </w:r>
    </w:p>
    <w:p w:rsidR="00B9350F" w:rsidRDefault="00B9350F" w:rsidP="00C63D5F">
      <w:pPr>
        <w:jc w:val="both"/>
        <w:rPr>
          <w:sz w:val="24"/>
          <w:szCs w:val="24"/>
        </w:rPr>
      </w:pPr>
    </w:p>
    <w:p w:rsidR="005A2AE2" w:rsidRPr="00AE433F" w:rsidRDefault="00C26894" w:rsidP="00AE433F">
      <w:pPr>
        <w:spacing w:before="60" w:after="60"/>
        <w:jc w:val="both"/>
        <w:rPr>
          <w:b/>
          <w:sz w:val="24"/>
          <w:szCs w:val="24"/>
        </w:rPr>
      </w:pPr>
      <w:r w:rsidRPr="00AE433F">
        <w:rPr>
          <w:b/>
          <w:sz w:val="24"/>
          <w:szCs w:val="24"/>
        </w:rPr>
        <w:t>MENETLUSOSALISTE</w:t>
      </w:r>
      <w:r w:rsidR="005A2AE2" w:rsidRPr="00AE433F">
        <w:rPr>
          <w:b/>
          <w:sz w:val="24"/>
          <w:szCs w:val="24"/>
        </w:rPr>
        <w:t xml:space="preserve"> NÕUDED, VASTUVÄITED JA PÕHJENDUSED</w:t>
      </w:r>
    </w:p>
    <w:p w:rsidR="00843476" w:rsidRDefault="00E613E7" w:rsidP="00843476">
      <w:pPr>
        <w:spacing w:before="60" w:after="60"/>
        <w:jc w:val="both"/>
        <w:rPr>
          <w:sz w:val="24"/>
        </w:rPr>
      </w:pPr>
      <w:r w:rsidRPr="00AE433F">
        <w:rPr>
          <w:b/>
          <w:sz w:val="24"/>
          <w:szCs w:val="24"/>
        </w:rPr>
        <w:t xml:space="preserve">1. </w:t>
      </w:r>
      <w:r w:rsidR="00E03982">
        <w:rPr>
          <w:noProof/>
          <w:sz w:val="24"/>
          <w:szCs w:val="24"/>
        </w:rPr>
        <w:t>Osaühing</w:t>
      </w:r>
      <w:r w:rsidR="00E03982" w:rsidRPr="00E03982">
        <w:rPr>
          <w:noProof/>
          <w:sz w:val="24"/>
          <w:szCs w:val="24"/>
        </w:rPr>
        <w:t xml:space="preserve"> Pusku Invest </w:t>
      </w:r>
      <w:r w:rsidR="001C4C74">
        <w:rPr>
          <w:noProof/>
          <w:sz w:val="24"/>
          <w:szCs w:val="24"/>
        </w:rPr>
        <w:t>(hageja) esitas</w:t>
      </w:r>
      <w:r w:rsidR="00E03982" w:rsidRPr="00254149">
        <w:rPr>
          <w:sz w:val="24"/>
        </w:rPr>
        <w:t xml:space="preserve"> </w:t>
      </w:r>
      <w:r w:rsidR="00E03982">
        <w:rPr>
          <w:sz w:val="24"/>
        </w:rPr>
        <w:t xml:space="preserve">maakohtule </w:t>
      </w:r>
      <w:r w:rsidR="00E03982" w:rsidRPr="00E03982">
        <w:rPr>
          <w:noProof/>
          <w:sz w:val="24"/>
          <w:szCs w:val="24"/>
        </w:rPr>
        <w:t>mittetulundusühingu „Kesk</w:t>
      </w:r>
      <w:r w:rsidR="00E03982" w:rsidRPr="00E03982">
        <w:rPr>
          <w:noProof/>
          <w:sz w:val="24"/>
          <w:szCs w:val="24"/>
        </w:rPr>
        <w:noBreakHyphen/>
        <w:t xml:space="preserve">Eesti Metsaomanikud“ </w:t>
      </w:r>
      <w:r w:rsidR="00E03982">
        <w:rPr>
          <w:noProof/>
          <w:sz w:val="24"/>
          <w:szCs w:val="24"/>
        </w:rPr>
        <w:t xml:space="preserve">(kostja) </w:t>
      </w:r>
      <w:r w:rsidR="00E03982" w:rsidRPr="00E03982">
        <w:rPr>
          <w:noProof/>
          <w:sz w:val="24"/>
          <w:szCs w:val="24"/>
        </w:rPr>
        <w:t xml:space="preserve">vastu </w:t>
      </w:r>
      <w:r w:rsidR="00843476" w:rsidRPr="00E03982">
        <w:rPr>
          <w:noProof/>
          <w:sz w:val="24"/>
          <w:szCs w:val="24"/>
        </w:rPr>
        <w:t>hagi</w:t>
      </w:r>
      <w:r w:rsidR="00843476">
        <w:rPr>
          <w:noProof/>
          <w:sz w:val="24"/>
          <w:szCs w:val="24"/>
        </w:rPr>
        <w:t xml:space="preserve">, milles palus mõista kostjalt välja hageja kasuks </w:t>
      </w:r>
      <w:r w:rsidR="002B06C2">
        <w:rPr>
          <w:noProof/>
          <w:sz w:val="24"/>
          <w:szCs w:val="24"/>
        </w:rPr>
        <w:t>võlgnevus</w:t>
      </w:r>
      <w:r w:rsidR="001C4C74">
        <w:rPr>
          <w:noProof/>
          <w:sz w:val="24"/>
          <w:szCs w:val="24"/>
        </w:rPr>
        <w:t>e</w:t>
      </w:r>
      <w:r w:rsidR="00E03982" w:rsidRPr="00E03982">
        <w:rPr>
          <w:noProof/>
          <w:sz w:val="24"/>
          <w:szCs w:val="24"/>
        </w:rPr>
        <w:t xml:space="preserve"> </w:t>
      </w:r>
      <w:r w:rsidR="00555AE6" w:rsidRPr="00555AE6">
        <w:rPr>
          <w:sz w:val="24"/>
        </w:rPr>
        <w:t>4612,5</w:t>
      </w:r>
      <w:r w:rsidR="00C3266A">
        <w:rPr>
          <w:sz w:val="24"/>
        </w:rPr>
        <w:t>0</w:t>
      </w:r>
      <w:r w:rsidR="00555AE6" w:rsidRPr="00555AE6">
        <w:rPr>
          <w:sz w:val="24"/>
        </w:rPr>
        <w:t> eurot</w:t>
      </w:r>
      <w:r w:rsidR="00B158C9">
        <w:rPr>
          <w:sz w:val="24"/>
        </w:rPr>
        <w:t xml:space="preserve"> ja seadusjärgses määras </w:t>
      </w:r>
      <w:r w:rsidR="002B06C2">
        <w:rPr>
          <w:sz w:val="24"/>
        </w:rPr>
        <w:t>viivis</w:t>
      </w:r>
      <w:r w:rsidR="001C4C74">
        <w:rPr>
          <w:sz w:val="24"/>
        </w:rPr>
        <w:t>e</w:t>
      </w:r>
      <w:r w:rsidR="00555AE6" w:rsidRPr="00555AE6">
        <w:rPr>
          <w:sz w:val="24"/>
        </w:rPr>
        <w:t xml:space="preserve"> </w:t>
      </w:r>
      <w:r w:rsidR="00843476" w:rsidRPr="00254149">
        <w:rPr>
          <w:sz w:val="24"/>
        </w:rPr>
        <w:t>alates 01.06.2</w:t>
      </w:r>
      <w:r w:rsidR="002B06C2">
        <w:rPr>
          <w:sz w:val="24"/>
        </w:rPr>
        <w:t xml:space="preserve">015 kuni </w:t>
      </w:r>
      <w:r w:rsidR="00843476">
        <w:rPr>
          <w:sz w:val="24"/>
        </w:rPr>
        <w:t>võlgnevuse tasumiseni.</w:t>
      </w:r>
    </w:p>
    <w:p w:rsidR="0049675E" w:rsidRDefault="00E03982" w:rsidP="00254149">
      <w:pPr>
        <w:spacing w:before="60" w:after="60"/>
        <w:jc w:val="both"/>
        <w:rPr>
          <w:sz w:val="24"/>
        </w:rPr>
      </w:pPr>
      <w:r w:rsidRPr="00254149">
        <w:rPr>
          <w:sz w:val="24"/>
        </w:rPr>
        <w:t>H</w:t>
      </w:r>
      <w:r w:rsidR="00E27739" w:rsidRPr="00254149">
        <w:rPr>
          <w:sz w:val="24"/>
        </w:rPr>
        <w:t xml:space="preserve">agiavalduse kohaselt sõlmisid </w:t>
      </w:r>
      <w:r w:rsidR="00153837">
        <w:rPr>
          <w:sz w:val="24"/>
        </w:rPr>
        <w:t xml:space="preserve">pooled </w:t>
      </w:r>
      <w:r w:rsidR="00454647">
        <w:rPr>
          <w:sz w:val="24"/>
        </w:rPr>
        <w:t xml:space="preserve">20.03.2014 </w:t>
      </w:r>
      <w:r w:rsidR="00E13A09">
        <w:rPr>
          <w:sz w:val="24"/>
        </w:rPr>
        <w:t xml:space="preserve">seoses </w:t>
      </w:r>
      <w:r w:rsidR="00E13A09" w:rsidRPr="00454647">
        <w:rPr>
          <w:sz w:val="24"/>
        </w:rPr>
        <w:t>metsa</w:t>
      </w:r>
      <w:r w:rsidR="00E13A09">
        <w:rPr>
          <w:sz w:val="24"/>
        </w:rPr>
        <w:t>veohaagise ja metsa</w:t>
      </w:r>
      <w:r w:rsidR="00E13A09" w:rsidRPr="00454647">
        <w:rPr>
          <w:sz w:val="24"/>
        </w:rPr>
        <w:t>tõstuki ostmisega</w:t>
      </w:r>
      <w:r w:rsidR="00E13A09">
        <w:rPr>
          <w:sz w:val="24"/>
        </w:rPr>
        <w:t xml:space="preserve"> kaks laenulepingut</w:t>
      </w:r>
      <w:r w:rsidR="00642EF8" w:rsidRPr="00454647">
        <w:rPr>
          <w:sz w:val="24"/>
        </w:rPr>
        <w:t xml:space="preserve">. </w:t>
      </w:r>
      <w:r w:rsidR="00E27739" w:rsidRPr="00254149">
        <w:rPr>
          <w:sz w:val="24"/>
        </w:rPr>
        <w:t xml:space="preserve">Esimese laenulepingu </w:t>
      </w:r>
      <w:r w:rsidR="002B06C2">
        <w:rPr>
          <w:sz w:val="24"/>
        </w:rPr>
        <w:t xml:space="preserve">järgi </w:t>
      </w:r>
      <w:r w:rsidR="00E27739" w:rsidRPr="00254149">
        <w:rPr>
          <w:sz w:val="24"/>
        </w:rPr>
        <w:t>kohustus hag</w:t>
      </w:r>
      <w:r w:rsidR="002B06C2">
        <w:rPr>
          <w:sz w:val="24"/>
        </w:rPr>
        <w:t xml:space="preserve">eja andma kostjale laenu </w:t>
      </w:r>
      <w:r w:rsidR="00E27739" w:rsidRPr="00254149">
        <w:rPr>
          <w:sz w:val="24"/>
        </w:rPr>
        <w:t>2632,50</w:t>
      </w:r>
      <w:r w:rsidR="00FC163F">
        <w:rPr>
          <w:sz w:val="24"/>
        </w:rPr>
        <w:t> euro</w:t>
      </w:r>
      <w:r w:rsidR="00E27739" w:rsidRPr="00254149">
        <w:rPr>
          <w:sz w:val="24"/>
        </w:rPr>
        <w:t xml:space="preserve">t ja teise laenulepingu </w:t>
      </w:r>
      <w:r w:rsidR="002B06C2">
        <w:rPr>
          <w:sz w:val="24"/>
        </w:rPr>
        <w:t xml:space="preserve">järgi </w:t>
      </w:r>
      <w:r w:rsidR="00E27739" w:rsidRPr="00254149">
        <w:rPr>
          <w:sz w:val="24"/>
        </w:rPr>
        <w:t>1980</w:t>
      </w:r>
      <w:r w:rsidR="00FC163F">
        <w:rPr>
          <w:sz w:val="24"/>
        </w:rPr>
        <w:t> euro</w:t>
      </w:r>
      <w:r w:rsidR="00E27739" w:rsidRPr="00254149">
        <w:rPr>
          <w:sz w:val="24"/>
        </w:rPr>
        <w:t xml:space="preserve">t. </w:t>
      </w:r>
      <w:r w:rsidR="0033379A">
        <w:rPr>
          <w:sz w:val="24"/>
        </w:rPr>
        <w:t>K</w:t>
      </w:r>
      <w:r w:rsidR="00E27739" w:rsidRPr="00254149">
        <w:rPr>
          <w:sz w:val="24"/>
        </w:rPr>
        <w:t xml:space="preserve">ostja </w:t>
      </w:r>
      <w:r w:rsidR="0033379A" w:rsidRPr="00254149">
        <w:rPr>
          <w:sz w:val="24"/>
        </w:rPr>
        <w:t xml:space="preserve">kohustus </w:t>
      </w:r>
      <w:r w:rsidR="00E63F3A">
        <w:rPr>
          <w:sz w:val="24"/>
        </w:rPr>
        <w:t xml:space="preserve">laenusummad tagastama </w:t>
      </w:r>
      <w:r w:rsidR="00E27739" w:rsidRPr="00254149">
        <w:rPr>
          <w:sz w:val="24"/>
        </w:rPr>
        <w:t xml:space="preserve">pärast toetuse (taotlus </w:t>
      </w:r>
      <w:r w:rsidR="00555AE6">
        <w:rPr>
          <w:sz w:val="24"/>
        </w:rPr>
        <w:t>nr </w:t>
      </w:r>
      <w:r w:rsidR="00E27739" w:rsidRPr="00254149">
        <w:rPr>
          <w:sz w:val="24"/>
        </w:rPr>
        <w:t xml:space="preserve">7-5/11/556) laekumist PRIA-st, kuid mitte hiljem kui 31.05.2015. PRIA toetus </w:t>
      </w:r>
      <w:r w:rsidR="0033379A" w:rsidRPr="00254149">
        <w:rPr>
          <w:sz w:val="24"/>
        </w:rPr>
        <w:t xml:space="preserve">maksti </w:t>
      </w:r>
      <w:r w:rsidR="00E27739" w:rsidRPr="00254149">
        <w:rPr>
          <w:sz w:val="24"/>
        </w:rPr>
        <w:t xml:space="preserve">kostjale välja 13.08.2014, kuid kostja </w:t>
      </w:r>
      <w:r w:rsidR="00555AE6" w:rsidRPr="00254149">
        <w:rPr>
          <w:sz w:val="24"/>
        </w:rPr>
        <w:t xml:space="preserve">ei ole </w:t>
      </w:r>
      <w:r w:rsidR="0033379A">
        <w:rPr>
          <w:sz w:val="24"/>
        </w:rPr>
        <w:t xml:space="preserve">vaatamata hageja nõudmistele </w:t>
      </w:r>
      <w:r w:rsidR="00C3266A">
        <w:rPr>
          <w:sz w:val="24"/>
        </w:rPr>
        <w:t>laenusummasid tagastanud</w:t>
      </w:r>
      <w:r w:rsidR="00E27739" w:rsidRPr="00254149">
        <w:rPr>
          <w:sz w:val="24"/>
        </w:rPr>
        <w:t>.</w:t>
      </w:r>
    </w:p>
    <w:p w:rsidR="00E27739" w:rsidRPr="00254149" w:rsidRDefault="00E13A09" w:rsidP="00254149">
      <w:pPr>
        <w:spacing w:before="60" w:after="60"/>
        <w:jc w:val="both"/>
        <w:rPr>
          <w:sz w:val="24"/>
        </w:rPr>
      </w:pPr>
      <w:r>
        <w:rPr>
          <w:sz w:val="24"/>
          <w:szCs w:val="24"/>
        </w:rPr>
        <w:t xml:space="preserve">Hageja </w:t>
      </w:r>
      <w:r w:rsidR="00187DEF">
        <w:rPr>
          <w:sz w:val="24"/>
          <w:szCs w:val="24"/>
        </w:rPr>
        <w:t xml:space="preserve">väitel </w:t>
      </w:r>
      <w:r>
        <w:rPr>
          <w:sz w:val="24"/>
          <w:szCs w:val="24"/>
        </w:rPr>
        <w:t xml:space="preserve">oli </w:t>
      </w:r>
      <w:r w:rsidR="00E27739" w:rsidRPr="0049675E">
        <w:rPr>
          <w:sz w:val="24"/>
          <w:szCs w:val="24"/>
        </w:rPr>
        <w:t>lepingu</w:t>
      </w:r>
      <w:r w:rsidR="0049675E">
        <w:rPr>
          <w:sz w:val="24"/>
          <w:szCs w:val="24"/>
        </w:rPr>
        <w:t>te</w:t>
      </w:r>
      <w:r>
        <w:rPr>
          <w:sz w:val="24"/>
          <w:szCs w:val="24"/>
        </w:rPr>
        <w:t xml:space="preserve"> sõlmimise taust järgmine</w:t>
      </w:r>
      <w:r w:rsidR="00E27739" w:rsidRPr="0049675E">
        <w:rPr>
          <w:sz w:val="24"/>
          <w:szCs w:val="24"/>
        </w:rPr>
        <w:t xml:space="preserve">. Kostja esitas </w:t>
      </w:r>
      <w:r w:rsidRPr="0049675E">
        <w:rPr>
          <w:sz w:val="24"/>
          <w:szCs w:val="24"/>
        </w:rPr>
        <w:t>2011. a</w:t>
      </w:r>
      <w:r>
        <w:rPr>
          <w:sz w:val="24"/>
          <w:szCs w:val="24"/>
        </w:rPr>
        <w:t>astal</w:t>
      </w:r>
      <w:r w:rsidRPr="0049675E">
        <w:rPr>
          <w:sz w:val="24"/>
          <w:szCs w:val="24"/>
        </w:rPr>
        <w:t xml:space="preserve"> </w:t>
      </w:r>
      <w:proofErr w:type="spellStart"/>
      <w:r w:rsidR="00E27739" w:rsidRPr="0049675E">
        <w:rPr>
          <w:sz w:val="24"/>
          <w:szCs w:val="24"/>
        </w:rPr>
        <w:t>SA</w:t>
      </w:r>
      <w:r w:rsidR="004A76F9">
        <w:rPr>
          <w:sz w:val="24"/>
          <w:szCs w:val="24"/>
        </w:rPr>
        <w:noBreakHyphen/>
      </w:r>
      <w:r w:rsidR="00FF372D">
        <w:rPr>
          <w:sz w:val="24"/>
          <w:szCs w:val="24"/>
        </w:rPr>
        <w:t>le</w:t>
      </w:r>
      <w:proofErr w:type="spellEnd"/>
      <w:r w:rsidR="004A76F9">
        <w:rPr>
          <w:sz w:val="24"/>
          <w:szCs w:val="24"/>
        </w:rPr>
        <w:t> </w:t>
      </w:r>
      <w:r w:rsidR="00FF372D">
        <w:rPr>
          <w:sz w:val="24"/>
          <w:szCs w:val="24"/>
        </w:rPr>
        <w:t>Erametsakeskus</w:t>
      </w:r>
      <w:r w:rsidR="00E27739" w:rsidRPr="0049675E">
        <w:rPr>
          <w:sz w:val="24"/>
          <w:szCs w:val="24"/>
        </w:rPr>
        <w:t xml:space="preserve"> taotluse toetuse saamiseks, et soetada kolmandale</w:t>
      </w:r>
      <w:r w:rsidR="00D03DC0" w:rsidRPr="0049675E">
        <w:rPr>
          <w:sz w:val="24"/>
          <w:szCs w:val="24"/>
        </w:rPr>
        <w:t xml:space="preserve"> </w:t>
      </w:r>
      <w:r w:rsidR="00E27739" w:rsidRPr="0049675E">
        <w:rPr>
          <w:sz w:val="24"/>
          <w:szCs w:val="24"/>
        </w:rPr>
        <w:t xml:space="preserve">isikule </w:t>
      </w:r>
      <w:r w:rsidR="00E63F3A">
        <w:rPr>
          <w:sz w:val="24"/>
          <w:szCs w:val="24"/>
        </w:rPr>
        <w:t>m</w:t>
      </w:r>
      <w:r w:rsidR="00E27739" w:rsidRPr="0049675E">
        <w:rPr>
          <w:sz w:val="24"/>
          <w:szCs w:val="24"/>
        </w:rPr>
        <w:t>etsatõstuk (väärtus 3960</w:t>
      </w:r>
      <w:r w:rsidR="00FC163F" w:rsidRPr="0049675E">
        <w:rPr>
          <w:sz w:val="24"/>
          <w:szCs w:val="24"/>
        </w:rPr>
        <w:t> euro</w:t>
      </w:r>
      <w:r w:rsidR="00E27739" w:rsidRPr="0049675E">
        <w:rPr>
          <w:sz w:val="24"/>
          <w:szCs w:val="24"/>
        </w:rPr>
        <w:t>t, sh</w:t>
      </w:r>
      <w:r w:rsidR="00091B1A">
        <w:rPr>
          <w:sz w:val="24"/>
          <w:szCs w:val="24"/>
        </w:rPr>
        <w:t xml:space="preserve"> </w:t>
      </w:r>
      <w:r w:rsidR="00E27739" w:rsidRPr="0049675E">
        <w:rPr>
          <w:sz w:val="24"/>
          <w:szCs w:val="24"/>
        </w:rPr>
        <w:t>km)</w:t>
      </w:r>
      <w:r w:rsidR="00FF372D">
        <w:rPr>
          <w:sz w:val="24"/>
          <w:szCs w:val="24"/>
        </w:rPr>
        <w:t xml:space="preserve"> ja</w:t>
      </w:r>
      <w:r w:rsidR="00E27739" w:rsidRPr="0049675E">
        <w:rPr>
          <w:sz w:val="24"/>
          <w:szCs w:val="24"/>
        </w:rPr>
        <w:t xml:space="preserve"> </w:t>
      </w:r>
      <w:r w:rsidR="00FF372D">
        <w:rPr>
          <w:sz w:val="24"/>
          <w:szCs w:val="24"/>
        </w:rPr>
        <w:t>m</w:t>
      </w:r>
      <w:r w:rsidR="00E27739" w:rsidRPr="0049675E">
        <w:rPr>
          <w:sz w:val="24"/>
          <w:szCs w:val="24"/>
        </w:rPr>
        <w:t>etsaveohaagis (väärtus 5265</w:t>
      </w:r>
      <w:r w:rsidR="00FC163F" w:rsidRPr="0049675E">
        <w:rPr>
          <w:sz w:val="24"/>
          <w:szCs w:val="24"/>
        </w:rPr>
        <w:t> euro</w:t>
      </w:r>
      <w:r w:rsidR="00E27739" w:rsidRPr="0049675E">
        <w:rPr>
          <w:sz w:val="24"/>
          <w:szCs w:val="24"/>
        </w:rPr>
        <w:t>t, sh km). SA Erametsakeskus rahuldas 07.03.2012 käskkirjaga taotluse, kohustudes hüvitama pool</w:t>
      </w:r>
      <w:r>
        <w:rPr>
          <w:sz w:val="24"/>
          <w:szCs w:val="24"/>
        </w:rPr>
        <w:t>e</w:t>
      </w:r>
      <w:r w:rsidR="00E27739" w:rsidRPr="0049675E">
        <w:rPr>
          <w:sz w:val="24"/>
          <w:szCs w:val="24"/>
        </w:rPr>
        <w:t xml:space="preserve"> seadmet</w:t>
      </w:r>
      <w:r w:rsidR="00571F06">
        <w:rPr>
          <w:sz w:val="24"/>
          <w:szCs w:val="24"/>
        </w:rPr>
        <w:t>e väärtusest (ilma käibemaksuta</w:t>
      </w:r>
      <w:r w:rsidR="00E27739" w:rsidRPr="0049675E">
        <w:rPr>
          <w:sz w:val="24"/>
          <w:szCs w:val="24"/>
        </w:rPr>
        <w:t xml:space="preserve">). </w:t>
      </w:r>
      <w:r>
        <w:rPr>
          <w:sz w:val="24"/>
          <w:szCs w:val="24"/>
        </w:rPr>
        <w:t xml:space="preserve">Kuna </w:t>
      </w:r>
      <w:r w:rsidR="00E27739" w:rsidRPr="0049675E">
        <w:rPr>
          <w:sz w:val="24"/>
          <w:szCs w:val="24"/>
        </w:rPr>
        <w:t>2014.</w:t>
      </w:r>
      <w:r w:rsidR="008729AD" w:rsidRPr="0049675E">
        <w:rPr>
          <w:sz w:val="24"/>
          <w:szCs w:val="24"/>
        </w:rPr>
        <w:t xml:space="preserve"> </w:t>
      </w:r>
      <w:r w:rsidR="00E27739" w:rsidRPr="0049675E">
        <w:rPr>
          <w:sz w:val="24"/>
          <w:szCs w:val="24"/>
        </w:rPr>
        <w:t>a alguses teatas kolmas isi</w:t>
      </w:r>
      <w:r>
        <w:rPr>
          <w:sz w:val="24"/>
          <w:szCs w:val="24"/>
        </w:rPr>
        <w:t xml:space="preserve">k, et ei soovi seadmeid soetada, avaldas </w:t>
      </w:r>
      <w:r w:rsidR="00E27739" w:rsidRPr="0049675E">
        <w:rPr>
          <w:sz w:val="24"/>
          <w:szCs w:val="24"/>
        </w:rPr>
        <w:t>hageja soovi seda ise teha. Kostja oli sellega nõus. 27.03.2014 tegi hageja kostjale ülekande summas 9225</w:t>
      </w:r>
      <w:r w:rsidR="00FC163F" w:rsidRPr="0049675E">
        <w:rPr>
          <w:sz w:val="24"/>
          <w:szCs w:val="24"/>
        </w:rPr>
        <w:t> euro</w:t>
      </w:r>
      <w:r w:rsidR="00E27739" w:rsidRPr="0049675E">
        <w:rPr>
          <w:sz w:val="24"/>
          <w:szCs w:val="24"/>
        </w:rPr>
        <w:t>t (s.o</w:t>
      </w:r>
      <w:r w:rsidR="002B06C2" w:rsidRPr="0049675E">
        <w:rPr>
          <w:sz w:val="24"/>
          <w:szCs w:val="24"/>
        </w:rPr>
        <w:t> </w:t>
      </w:r>
      <w:r w:rsidR="00E63F3A">
        <w:rPr>
          <w:sz w:val="24"/>
          <w:szCs w:val="24"/>
        </w:rPr>
        <w:t>seadmete kogumaksumus</w:t>
      </w:r>
      <w:r>
        <w:rPr>
          <w:sz w:val="24"/>
          <w:szCs w:val="24"/>
        </w:rPr>
        <w:t>, p</w:t>
      </w:r>
      <w:r w:rsidRPr="0049675E">
        <w:rPr>
          <w:sz w:val="24"/>
          <w:szCs w:val="24"/>
        </w:rPr>
        <w:t xml:space="preserve">ool </w:t>
      </w:r>
      <w:r>
        <w:rPr>
          <w:sz w:val="24"/>
          <w:szCs w:val="24"/>
        </w:rPr>
        <w:t>sellest rendi</w:t>
      </w:r>
      <w:r w:rsidRPr="0049675E">
        <w:rPr>
          <w:sz w:val="24"/>
          <w:szCs w:val="24"/>
        </w:rPr>
        <w:t>arve</w:t>
      </w:r>
      <w:r>
        <w:rPr>
          <w:sz w:val="24"/>
          <w:szCs w:val="24"/>
        </w:rPr>
        <w:t>te</w:t>
      </w:r>
      <w:r w:rsidRPr="0049675E">
        <w:rPr>
          <w:sz w:val="24"/>
          <w:szCs w:val="24"/>
        </w:rPr>
        <w:t xml:space="preserve"> </w:t>
      </w:r>
      <w:r>
        <w:rPr>
          <w:sz w:val="24"/>
          <w:szCs w:val="24"/>
        </w:rPr>
        <w:t>ja pool</w:t>
      </w:r>
      <w:r w:rsidRPr="0049675E">
        <w:rPr>
          <w:sz w:val="24"/>
          <w:szCs w:val="24"/>
        </w:rPr>
        <w:t xml:space="preserve"> </w:t>
      </w:r>
      <w:r>
        <w:rPr>
          <w:sz w:val="24"/>
          <w:szCs w:val="24"/>
        </w:rPr>
        <w:t>laenulepingute alusel</w:t>
      </w:r>
      <w:r w:rsidR="00EC329B">
        <w:rPr>
          <w:sz w:val="24"/>
          <w:szCs w:val="24"/>
        </w:rPr>
        <w:t xml:space="preserve">). </w:t>
      </w:r>
      <w:r w:rsidR="00E27739" w:rsidRPr="00CD40EF">
        <w:rPr>
          <w:sz w:val="24"/>
          <w:szCs w:val="24"/>
        </w:rPr>
        <w:t xml:space="preserve">Seega sai kostja ilma kulutusi tegemata endale </w:t>
      </w:r>
      <w:r w:rsidR="00941649" w:rsidRPr="006341BF">
        <w:rPr>
          <w:sz w:val="24"/>
          <w:szCs w:val="24"/>
        </w:rPr>
        <w:t xml:space="preserve">seadmete ostmiseks ettenähtud </w:t>
      </w:r>
      <w:r w:rsidR="00E27739" w:rsidRPr="00CD40EF">
        <w:rPr>
          <w:sz w:val="24"/>
          <w:szCs w:val="24"/>
        </w:rPr>
        <w:t>toetuse, mida kostja ei ole vast</w:t>
      </w:r>
      <w:r w:rsidR="00941649">
        <w:rPr>
          <w:sz w:val="24"/>
          <w:szCs w:val="24"/>
        </w:rPr>
        <w:t xml:space="preserve">avalt sihtotstarbele kasutanud, </w:t>
      </w:r>
      <w:r w:rsidR="007A7309">
        <w:rPr>
          <w:sz w:val="24"/>
          <w:szCs w:val="24"/>
        </w:rPr>
        <w:t>ning</w:t>
      </w:r>
      <w:r w:rsidR="00941649" w:rsidRPr="006341BF">
        <w:rPr>
          <w:sz w:val="24"/>
          <w:szCs w:val="24"/>
        </w:rPr>
        <w:t xml:space="preserve"> keeldub </w:t>
      </w:r>
      <w:r w:rsidR="007A7309">
        <w:rPr>
          <w:sz w:val="24"/>
          <w:szCs w:val="24"/>
        </w:rPr>
        <w:t xml:space="preserve">nüüd </w:t>
      </w:r>
      <w:r w:rsidR="00941649" w:rsidRPr="006341BF">
        <w:rPr>
          <w:sz w:val="24"/>
          <w:szCs w:val="24"/>
        </w:rPr>
        <w:t>se</w:t>
      </w:r>
      <w:r w:rsidR="00941649">
        <w:rPr>
          <w:sz w:val="24"/>
          <w:szCs w:val="24"/>
        </w:rPr>
        <w:t>da</w:t>
      </w:r>
      <w:r w:rsidR="00941649" w:rsidRPr="006341BF">
        <w:rPr>
          <w:sz w:val="24"/>
          <w:szCs w:val="24"/>
        </w:rPr>
        <w:t xml:space="preserve"> hagejale üle</w:t>
      </w:r>
      <w:r w:rsidR="00941649">
        <w:rPr>
          <w:sz w:val="24"/>
          <w:szCs w:val="24"/>
        </w:rPr>
        <w:t xml:space="preserve"> </w:t>
      </w:r>
      <w:r w:rsidR="00941649" w:rsidRPr="006341BF">
        <w:rPr>
          <w:sz w:val="24"/>
          <w:szCs w:val="24"/>
        </w:rPr>
        <w:t>andm</w:t>
      </w:r>
      <w:r w:rsidR="00941649">
        <w:rPr>
          <w:sz w:val="24"/>
          <w:szCs w:val="24"/>
        </w:rPr>
        <w:t>a</w:t>
      </w:r>
      <w:r w:rsidR="00941649" w:rsidRPr="006341BF">
        <w:rPr>
          <w:sz w:val="24"/>
          <w:szCs w:val="24"/>
        </w:rPr>
        <w:t xml:space="preserve">st. </w:t>
      </w:r>
      <w:r w:rsidRPr="00E63F3A">
        <w:rPr>
          <w:sz w:val="24"/>
        </w:rPr>
        <w:t>L</w:t>
      </w:r>
      <w:r w:rsidR="00680132" w:rsidRPr="00E63F3A">
        <w:rPr>
          <w:sz w:val="24"/>
        </w:rPr>
        <w:t xml:space="preserve">epingute </w:t>
      </w:r>
      <w:r>
        <w:rPr>
          <w:sz w:val="24"/>
        </w:rPr>
        <w:t>sõlmimisel oli hageja eesmärk</w:t>
      </w:r>
      <w:r w:rsidR="00680132" w:rsidRPr="00E63F3A">
        <w:rPr>
          <w:sz w:val="24"/>
        </w:rPr>
        <w:t xml:space="preserve"> soetada seadmed selliselt, et poole seadmete maksumusest katab PRIA toetus. Kostja </w:t>
      </w:r>
      <w:r w:rsidR="00680132">
        <w:rPr>
          <w:sz w:val="24"/>
        </w:rPr>
        <w:t xml:space="preserve">on mittetulundusühing </w:t>
      </w:r>
      <w:r w:rsidR="007A7309">
        <w:rPr>
          <w:sz w:val="24"/>
        </w:rPr>
        <w:t>ja</w:t>
      </w:r>
      <w:r w:rsidR="00680132" w:rsidRPr="00E63F3A">
        <w:rPr>
          <w:sz w:val="24"/>
        </w:rPr>
        <w:t xml:space="preserve"> </w:t>
      </w:r>
      <w:r w:rsidR="00CE3115">
        <w:rPr>
          <w:sz w:val="24"/>
        </w:rPr>
        <w:t>s</w:t>
      </w:r>
      <w:r w:rsidR="007303EE">
        <w:rPr>
          <w:sz w:val="24"/>
        </w:rPr>
        <w:t xml:space="preserve">elliste lepingute sõlmimine on kostjal tavapärane, et </w:t>
      </w:r>
      <w:r w:rsidR="009D7BF7" w:rsidRPr="009D7BF7">
        <w:rPr>
          <w:sz w:val="24"/>
        </w:rPr>
        <w:t xml:space="preserve">võimaldada </w:t>
      </w:r>
      <w:r w:rsidR="00046013">
        <w:rPr>
          <w:sz w:val="24"/>
        </w:rPr>
        <w:t xml:space="preserve">oma </w:t>
      </w:r>
      <w:r w:rsidR="009D7BF7" w:rsidRPr="009D7BF7">
        <w:rPr>
          <w:sz w:val="24"/>
        </w:rPr>
        <w:t xml:space="preserve">liikmetel osta </w:t>
      </w:r>
      <w:r w:rsidR="009763CB">
        <w:rPr>
          <w:sz w:val="24"/>
        </w:rPr>
        <w:t>metsa</w:t>
      </w:r>
      <w:r w:rsidR="009D7BF7" w:rsidRPr="009D7BF7">
        <w:rPr>
          <w:sz w:val="24"/>
        </w:rPr>
        <w:t xml:space="preserve">tehnikat </w:t>
      </w:r>
      <w:r w:rsidR="007303EE">
        <w:rPr>
          <w:sz w:val="24"/>
        </w:rPr>
        <w:t>toetus</w:t>
      </w:r>
      <w:r w:rsidR="00C06351">
        <w:rPr>
          <w:sz w:val="24"/>
        </w:rPr>
        <w:t>t</w:t>
      </w:r>
      <w:r w:rsidR="007303EE">
        <w:rPr>
          <w:sz w:val="24"/>
        </w:rPr>
        <w:t>e abil.</w:t>
      </w:r>
      <w:r w:rsidR="00626DD7">
        <w:rPr>
          <w:sz w:val="24"/>
        </w:rPr>
        <w:t xml:space="preserve"> </w:t>
      </w:r>
      <w:r w:rsidR="00660FE4" w:rsidRPr="0049675E">
        <w:rPr>
          <w:sz w:val="24"/>
          <w:szCs w:val="24"/>
        </w:rPr>
        <w:t>Laenulepingute p</w:t>
      </w:r>
      <w:r w:rsidR="00660FE4">
        <w:rPr>
          <w:sz w:val="24"/>
          <w:szCs w:val="24"/>
        </w:rPr>
        <w:t> </w:t>
      </w:r>
      <w:r w:rsidR="00660FE4" w:rsidRPr="0049675E">
        <w:rPr>
          <w:sz w:val="24"/>
          <w:szCs w:val="24"/>
        </w:rPr>
        <w:t xml:space="preserve">3.3 </w:t>
      </w:r>
      <w:r w:rsidR="007A7309">
        <w:rPr>
          <w:sz w:val="24"/>
        </w:rPr>
        <w:t>ei kuulu kohaldamisele</w:t>
      </w:r>
      <w:r w:rsidR="00660FE4">
        <w:rPr>
          <w:sz w:val="24"/>
        </w:rPr>
        <w:t>.</w:t>
      </w:r>
      <w:r w:rsidR="002272D3">
        <w:rPr>
          <w:sz w:val="24"/>
        </w:rPr>
        <w:t xml:space="preserve"> Üksnes juhul, kui PRIA toetust ei </w:t>
      </w:r>
      <w:r>
        <w:rPr>
          <w:sz w:val="24"/>
        </w:rPr>
        <w:t xml:space="preserve">oleks </w:t>
      </w:r>
      <w:r w:rsidR="002272D3">
        <w:rPr>
          <w:sz w:val="24"/>
        </w:rPr>
        <w:t>laeku</w:t>
      </w:r>
      <w:r>
        <w:rPr>
          <w:sz w:val="24"/>
        </w:rPr>
        <w:t>nud</w:t>
      </w:r>
      <w:r w:rsidR="002272D3">
        <w:rPr>
          <w:sz w:val="24"/>
        </w:rPr>
        <w:t xml:space="preserve">, </w:t>
      </w:r>
      <w:r>
        <w:rPr>
          <w:sz w:val="24"/>
        </w:rPr>
        <w:t>oleks toimunud</w:t>
      </w:r>
      <w:r w:rsidR="002272D3">
        <w:rPr>
          <w:sz w:val="24"/>
        </w:rPr>
        <w:t xml:space="preserve"> tasaarvestus ning kostjale üle antud laen ja renditasu </w:t>
      </w:r>
      <w:r>
        <w:rPr>
          <w:sz w:val="24"/>
        </w:rPr>
        <w:t xml:space="preserve">oleks </w:t>
      </w:r>
      <w:r w:rsidR="002272D3">
        <w:rPr>
          <w:sz w:val="24"/>
        </w:rPr>
        <w:t>loet</w:t>
      </w:r>
      <w:r>
        <w:rPr>
          <w:sz w:val="24"/>
        </w:rPr>
        <w:t>ud</w:t>
      </w:r>
      <w:r w:rsidR="002272D3">
        <w:rPr>
          <w:sz w:val="24"/>
        </w:rPr>
        <w:t xml:space="preserve"> tasutuks müügihinna katteks.</w:t>
      </w:r>
    </w:p>
    <w:p w:rsidR="00CA5730" w:rsidRDefault="006222C9" w:rsidP="006222C9">
      <w:pPr>
        <w:spacing w:before="60" w:after="60"/>
        <w:jc w:val="both"/>
        <w:rPr>
          <w:sz w:val="24"/>
        </w:rPr>
      </w:pPr>
      <w:r w:rsidRPr="006222C9">
        <w:rPr>
          <w:b/>
          <w:sz w:val="24"/>
        </w:rPr>
        <w:t>2.</w:t>
      </w:r>
      <w:r>
        <w:rPr>
          <w:sz w:val="24"/>
        </w:rPr>
        <w:t xml:space="preserve"> </w:t>
      </w:r>
      <w:r w:rsidR="00E27739" w:rsidRPr="006C7598">
        <w:rPr>
          <w:sz w:val="24"/>
          <w:szCs w:val="24"/>
        </w:rPr>
        <w:t xml:space="preserve">Kostja hagi </w:t>
      </w:r>
      <w:r w:rsidRPr="006C7598">
        <w:rPr>
          <w:sz w:val="24"/>
          <w:szCs w:val="24"/>
        </w:rPr>
        <w:t>ei tunnistanud</w:t>
      </w:r>
      <w:r w:rsidR="00E63F3A">
        <w:rPr>
          <w:sz w:val="24"/>
          <w:szCs w:val="24"/>
        </w:rPr>
        <w:t>, leides, et k</w:t>
      </w:r>
      <w:r w:rsidR="007615C6" w:rsidRPr="007615C6">
        <w:rPr>
          <w:sz w:val="24"/>
        </w:rPr>
        <w:t xml:space="preserve">õik hageja nõuded kostja vastu </w:t>
      </w:r>
      <w:r w:rsidR="006C7598">
        <w:rPr>
          <w:sz w:val="24"/>
        </w:rPr>
        <w:t xml:space="preserve">on </w:t>
      </w:r>
      <w:r w:rsidR="007615C6" w:rsidRPr="007615C6">
        <w:rPr>
          <w:sz w:val="24"/>
        </w:rPr>
        <w:t>lõppenud</w:t>
      </w:r>
      <w:r w:rsidR="007615C6">
        <w:rPr>
          <w:sz w:val="24"/>
        </w:rPr>
        <w:t>.</w:t>
      </w:r>
      <w:r w:rsidR="00580A18">
        <w:rPr>
          <w:sz w:val="24"/>
        </w:rPr>
        <w:t xml:space="preserve"> </w:t>
      </w:r>
      <w:r w:rsidR="00C57B50">
        <w:rPr>
          <w:sz w:val="24"/>
        </w:rPr>
        <w:t>Kostja asus menetluse käigus seisukohale, et poolte kokkulepe oli järgmine: a)</w:t>
      </w:r>
      <w:r w:rsidR="00C57B50" w:rsidRPr="00C57B50">
        <w:rPr>
          <w:sz w:val="24"/>
        </w:rPr>
        <w:t xml:space="preserve"> kostja ostab haagise ja tõstuki; b) haagi</w:t>
      </w:r>
      <w:r w:rsidR="00801F83">
        <w:rPr>
          <w:sz w:val="24"/>
        </w:rPr>
        <w:t>s ja tõstuk on hageja kasutuses;</w:t>
      </w:r>
      <w:r w:rsidR="00C57B50" w:rsidRPr="00C57B50">
        <w:rPr>
          <w:sz w:val="24"/>
        </w:rPr>
        <w:t xml:space="preserve"> c) omandiõigus seadmetele läheb üle viie aasta pärast ehk 13.08.2019; d) haagise ja tõstuki hinnaks on sama hind, millega kostja seadmed ostis; e) kuna seadmete ostmine oli seotud kostja esitatud toetuse taotlusega ja toetuse tingimuse kohaselt peab seade olema taotleja oma vähemalt 5 aastat, ei saa kostja </w:t>
      </w:r>
      <w:r w:rsidR="00C57B50" w:rsidRPr="00C57B50">
        <w:rPr>
          <w:sz w:val="24"/>
        </w:rPr>
        <w:lastRenderedPageBreak/>
        <w:t>seadmeid hagejale koheselt müüa</w:t>
      </w:r>
      <w:r w:rsidR="00801F83">
        <w:rPr>
          <w:sz w:val="24"/>
        </w:rPr>
        <w:t xml:space="preserve"> ning</w:t>
      </w:r>
      <w:r w:rsidR="00C57B50" w:rsidRPr="00C57B50">
        <w:rPr>
          <w:sz w:val="24"/>
        </w:rPr>
        <w:t xml:space="preserve"> </w:t>
      </w:r>
      <w:r w:rsidR="00801F83">
        <w:rPr>
          <w:sz w:val="24"/>
        </w:rPr>
        <w:t>s</w:t>
      </w:r>
      <w:r w:rsidR="00C57B50" w:rsidRPr="00C57B50">
        <w:rPr>
          <w:sz w:val="24"/>
        </w:rPr>
        <w:t>eetõttu märgib hageja kostjale tehtud ülekannete selgituseks arved ja laenulepingud; f) hageja tasutud summad loetak</w:t>
      </w:r>
      <w:r w:rsidR="00E63F3A">
        <w:rPr>
          <w:sz w:val="24"/>
        </w:rPr>
        <w:t>se tasaarvestatuks. Tegemist on</w:t>
      </w:r>
      <w:r w:rsidR="00C57B50" w:rsidRPr="00C57B50">
        <w:rPr>
          <w:sz w:val="24"/>
        </w:rPr>
        <w:t xml:space="preserve"> tervikliku kokkuleppega, millel on nii kasutusrendi, kapitalirendi, liisingulepingu kui </w:t>
      </w:r>
      <w:r w:rsidR="00E13A09">
        <w:rPr>
          <w:sz w:val="24"/>
        </w:rPr>
        <w:t xml:space="preserve">ka </w:t>
      </w:r>
      <w:r w:rsidR="00C57B50" w:rsidRPr="00C57B50">
        <w:rPr>
          <w:sz w:val="24"/>
        </w:rPr>
        <w:t>järelmaksuga müügi tunnuseid.</w:t>
      </w:r>
      <w:r w:rsidR="0035506F">
        <w:rPr>
          <w:sz w:val="24"/>
        </w:rPr>
        <w:t xml:space="preserve"> </w:t>
      </w:r>
      <w:r w:rsidR="003F7343" w:rsidRPr="000078DC">
        <w:rPr>
          <w:sz w:val="24"/>
        </w:rPr>
        <w:t>K</w:t>
      </w:r>
      <w:r w:rsidR="00E13A09">
        <w:rPr>
          <w:sz w:val="24"/>
        </w:rPr>
        <w:t>ogu poolte kokkulepe sisaldub</w:t>
      </w:r>
      <w:r w:rsidR="00E63F3A" w:rsidRPr="000078DC">
        <w:rPr>
          <w:sz w:val="24"/>
        </w:rPr>
        <w:t xml:space="preserve"> laenulepingutes. </w:t>
      </w:r>
      <w:r w:rsidR="00E13A09">
        <w:rPr>
          <w:sz w:val="24"/>
        </w:rPr>
        <w:t>Laenul</w:t>
      </w:r>
      <w:r w:rsidR="00F635AF" w:rsidRPr="00254149">
        <w:rPr>
          <w:sz w:val="24"/>
        </w:rPr>
        <w:t>epingu</w:t>
      </w:r>
      <w:r w:rsidR="00E503F7">
        <w:rPr>
          <w:sz w:val="24"/>
        </w:rPr>
        <w:t>te</w:t>
      </w:r>
      <w:r w:rsidR="00F635AF" w:rsidRPr="00254149">
        <w:rPr>
          <w:sz w:val="24"/>
        </w:rPr>
        <w:t xml:space="preserve"> p</w:t>
      </w:r>
      <w:r w:rsidR="00E503F7">
        <w:rPr>
          <w:sz w:val="24"/>
        </w:rPr>
        <w:t> </w:t>
      </w:r>
      <w:r w:rsidR="00F635AF" w:rsidRPr="00254149">
        <w:rPr>
          <w:sz w:val="24"/>
        </w:rPr>
        <w:t xml:space="preserve">3.3 </w:t>
      </w:r>
      <w:r w:rsidR="00E503F7" w:rsidRPr="00254149">
        <w:rPr>
          <w:sz w:val="24"/>
        </w:rPr>
        <w:t xml:space="preserve">tähendab seda, et omandiõiguse üleminekuga viieaastase kasutusperioodi lõpus loetakse </w:t>
      </w:r>
      <w:r w:rsidR="00E13A09">
        <w:rPr>
          <w:sz w:val="24"/>
        </w:rPr>
        <w:t xml:space="preserve">kõik </w:t>
      </w:r>
      <w:r w:rsidR="00E503F7" w:rsidRPr="00254149">
        <w:rPr>
          <w:sz w:val="24"/>
        </w:rPr>
        <w:t>nõuded täidetuks</w:t>
      </w:r>
      <w:r w:rsidR="00E503F7">
        <w:rPr>
          <w:sz w:val="24"/>
        </w:rPr>
        <w:t xml:space="preserve">, st punktis </w:t>
      </w:r>
      <w:r w:rsidR="00E503F7" w:rsidRPr="00254149">
        <w:rPr>
          <w:sz w:val="24"/>
        </w:rPr>
        <w:t xml:space="preserve">sisaldub </w:t>
      </w:r>
      <w:r w:rsidR="00E503F7">
        <w:rPr>
          <w:sz w:val="24"/>
        </w:rPr>
        <w:t>t</w:t>
      </w:r>
      <w:r w:rsidR="00F82FFD">
        <w:rPr>
          <w:sz w:val="24"/>
        </w:rPr>
        <w:t>asaarvestus</w:t>
      </w:r>
      <w:r w:rsidR="001862EE">
        <w:rPr>
          <w:sz w:val="24"/>
        </w:rPr>
        <w:t>e kokkulepe</w:t>
      </w:r>
      <w:r w:rsidR="00E503F7">
        <w:rPr>
          <w:sz w:val="24"/>
        </w:rPr>
        <w:t>.</w:t>
      </w:r>
    </w:p>
    <w:p w:rsidR="00FC5411" w:rsidRPr="00F419E3" w:rsidRDefault="00FC5411" w:rsidP="006222C9">
      <w:pPr>
        <w:spacing w:before="60" w:after="60"/>
        <w:jc w:val="both"/>
        <w:rPr>
          <w:sz w:val="24"/>
        </w:rPr>
      </w:pPr>
    </w:p>
    <w:p w:rsidR="006222C9" w:rsidRPr="00AE433F" w:rsidRDefault="006222C9" w:rsidP="006222C9">
      <w:pPr>
        <w:spacing w:before="60" w:after="60"/>
        <w:jc w:val="both"/>
        <w:rPr>
          <w:b/>
          <w:sz w:val="24"/>
          <w:szCs w:val="24"/>
        </w:rPr>
      </w:pPr>
      <w:r w:rsidRPr="00AE433F">
        <w:rPr>
          <w:b/>
          <w:sz w:val="24"/>
          <w:szCs w:val="24"/>
        </w:rPr>
        <w:t>MAAKOHTU LAHEND</w:t>
      </w:r>
    </w:p>
    <w:p w:rsidR="006222C9" w:rsidRPr="00254149" w:rsidRDefault="006222C9" w:rsidP="006222C9">
      <w:pPr>
        <w:spacing w:before="60" w:after="60"/>
        <w:jc w:val="both"/>
        <w:rPr>
          <w:sz w:val="24"/>
        </w:rPr>
      </w:pPr>
      <w:r>
        <w:rPr>
          <w:b/>
          <w:sz w:val="24"/>
          <w:szCs w:val="24"/>
        </w:rPr>
        <w:t>3</w:t>
      </w:r>
      <w:r w:rsidRPr="00AE433F">
        <w:rPr>
          <w:b/>
          <w:sz w:val="24"/>
          <w:szCs w:val="24"/>
        </w:rPr>
        <w:t xml:space="preserve">. </w:t>
      </w:r>
      <w:r w:rsidRPr="00AE433F">
        <w:rPr>
          <w:sz w:val="24"/>
          <w:szCs w:val="24"/>
        </w:rPr>
        <w:t xml:space="preserve">Tartu Maakohus </w:t>
      </w:r>
      <w:r>
        <w:rPr>
          <w:sz w:val="24"/>
          <w:szCs w:val="24"/>
        </w:rPr>
        <w:t>r</w:t>
      </w:r>
      <w:r w:rsidRPr="00254149">
        <w:rPr>
          <w:sz w:val="24"/>
        </w:rPr>
        <w:t>ahulda</w:t>
      </w:r>
      <w:r>
        <w:rPr>
          <w:sz w:val="24"/>
        </w:rPr>
        <w:t>s</w:t>
      </w:r>
      <w:r w:rsidRPr="00254149">
        <w:rPr>
          <w:sz w:val="24"/>
        </w:rPr>
        <w:t xml:space="preserve"> </w:t>
      </w:r>
      <w:r>
        <w:rPr>
          <w:sz w:val="24"/>
          <w:szCs w:val="24"/>
        </w:rPr>
        <w:t>24</w:t>
      </w:r>
      <w:r w:rsidRPr="00AE433F">
        <w:rPr>
          <w:sz w:val="24"/>
          <w:szCs w:val="24"/>
        </w:rPr>
        <w:t>.</w:t>
      </w:r>
      <w:r>
        <w:rPr>
          <w:sz w:val="24"/>
          <w:szCs w:val="24"/>
        </w:rPr>
        <w:t xml:space="preserve"> jaanuari </w:t>
      </w:r>
      <w:r w:rsidRPr="00AE433F">
        <w:rPr>
          <w:sz w:val="24"/>
          <w:szCs w:val="24"/>
        </w:rPr>
        <w:t>201</w:t>
      </w:r>
      <w:r>
        <w:rPr>
          <w:sz w:val="24"/>
          <w:szCs w:val="24"/>
        </w:rPr>
        <w:t>9</w:t>
      </w:r>
      <w:r w:rsidRPr="00AE433F">
        <w:rPr>
          <w:sz w:val="24"/>
          <w:szCs w:val="24"/>
        </w:rPr>
        <w:t xml:space="preserve"> otsusega</w:t>
      </w:r>
      <w:r w:rsidRPr="006222C9">
        <w:rPr>
          <w:sz w:val="24"/>
        </w:rPr>
        <w:t xml:space="preserve"> </w:t>
      </w:r>
      <w:r>
        <w:rPr>
          <w:sz w:val="24"/>
        </w:rPr>
        <w:t>hagi ning mõistis</w:t>
      </w:r>
      <w:r w:rsidRPr="00254149">
        <w:rPr>
          <w:sz w:val="24"/>
        </w:rPr>
        <w:t xml:space="preserve"> mittetulundusühingult „Kesk-Eesti Metsaomanikud“ </w:t>
      </w:r>
      <w:r>
        <w:rPr>
          <w:sz w:val="24"/>
        </w:rPr>
        <w:t xml:space="preserve">välja </w:t>
      </w:r>
      <w:r w:rsidRPr="00254149">
        <w:rPr>
          <w:sz w:val="24"/>
        </w:rPr>
        <w:t xml:space="preserve">Pusku </w:t>
      </w:r>
      <w:proofErr w:type="spellStart"/>
      <w:r w:rsidRPr="00254149">
        <w:rPr>
          <w:sz w:val="24"/>
        </w:rPr>
        <w:t>Invest</w:t>
      </w:r>
      <w:proofErr w:type="spellEnd"/>
      <w:r w:rsidRPr="00254149">
        <w:rPr>
          <w:sz w:val="24"/>
        </w:rPr>
        <w:t xml:space="preserve"> OÜ kasuks 5962,61</w:t>
      </w:r>
      <w:r w:rsidR="00FC163F">
        <w:rPr>
          <w:sz w:val="24"/>
        </w:rPr>
        <w:t> euro</w:t>
      </w:r>
      <w:r w:rsidRPr="00254149">
        <w:rPr>
          <w:sz w:val="24"/>
        </w:rPr>
        <w:t>t, millest 4612,50</w:t>
      </w:r>
      <w:r w:rsidR="00FC163F">
        <w:rPr>
          <w:sz w:val="24"/>
        </w:rPr>
        <w:t> euro</w:t>
      </w:r>
      <w:r w:rsidRPr="00254149">
        <w:rPr>
          <w:sz w:val="24"/>
        </w:rPr>
        <w:t xml:space="preserve">t on põhivõlgnevus </w:t>
      </w:r>
      <w:r>
        <w:rPr>
          <w:sz w:val="24"/>
        </w:rPr>
        <w:t>ja</w:t>
      </w:r>
      <w:r w:rsidRPr="00254149">
        <w:rPr>
          <w:sz w:val="24"/>
        </w:rPr>
        <w:t xml:space="preserve"> 1350,11</w:t>
      </w:r>
      <w:r w:rsidR="00FC163F">
        <w:rPr>
          <w:sz w:val="24"/>
        </w:rPr>
        <w:t> euro</w:t>
      </w:r>
      <w:r w:rsidRPr="00254149">
        <w:rPr>
          <w:sz w:val="24"/>
        </w:rPr>
        <w:t>t 24.</w:t>
      </w:r>
      <w:r w:rsidR="002B06C2">
        <w:rPr>
          <w:sz w:val="24"/>
        </w:rPr>
        <w:t xml:space="preserve"> jaanuari </w:t>
      </w:r>
      <w:r w:rsidRPr="00254149">
        <w:rPr>
          <w:sz w:val="24"/>
        </w:rPr>
        <w:t>2019 seisuga</w:t>
      </w:r>
      <w:r>
        <w:rPr>
          <w:sz w:val="24"/>
        </w:rPr>
        <w:t xml:space="preserve"> sissenõutavaks muutunud viivis, ning </w:t>
      </w:r>
      <w:r w:rsidRPr="00254149">
        <w:rPr>
          <w:sz w:val="24"/>
        </w:rPr>
        <w:t>viivis</w:t>
      </w:r>
      <w:r>
        <w:rPr>
          <w:sz w:val="24"/>
        </w:rPr>
        <w:t>e</w:t>
      </w:r>
      <w:r w:rsidRPr="00254149">
        <w:rPr>
          <w:sz w:val="24"/>
        </w:rPr>
        <w:t xml:space="preserve"> </w:t>
      </w:r>
      <w:r w:rsidR="00693E9E">
        <w:rPr>
          <w:sz w:val="24"/>
        </w:rPr>
        <w:t>võlaõigusseaduse (</w:t>
      </w:r>
      <w:r w:rsidRPr="00254149">
        <w:rPr>
          <w:sz w:val="24"/>
        </w:rPr>
        <w:t>VÕS</w:t>
      </w:r>
      <w:r w:rsidR="00693E9E">
        <w:rPr>
          <w:sz w:val="24"/>
        </w:rPr>
        <w:t xml:space="preserve">) </w:t>
      </w:r>
      <w:r w:rsidR="00FC163F">
        <w:rPr>
          <w:sz w:val="24"/>
        </w:rPr>
        <w:t>§ </w:t>
      </w:r>
      <w:r w:rsidRPr="00254149">
        <w:rPr>
          <w:sz w:val="24"/>
        </w:rPr>
        <w:t>113</w:t>
      </w:r>
      <w:r w:rsidR="00FC163F">
        <w:rPr>
          <w:sz w:val="24"/>
        </w:rPr>
        <w:t xml:space="preserve"> lg </w:t>
      </w:r>
      <w:r w:rsidRPr="00254149">
        <w:rPr>
          <w:sz w:val="24"/>
        </w:rPr>
        <w:t>1 lauses 2 sätestatud määras alates 25.</w:t>
      </w:r>
      <w:r w:rsidR="003B533E">
        <w:rPr>
          <w:sz w:val="24"/>
        </w:rPr>
        <w:t xml:space="preserve"> </w:t>
      </w:r>
      <w:r>
        <w:rPr>
          <w:sz w:val="24"/>
        </w:rPr>
        <w:t>jaanuarist</w:t>
      </w:r>
      <w:r w:rsidR="003B533E">
        <w:rPr>
          <w:sz w:val="24"/>
        </w:rPr>
        <w:t xml:space="preserve"> </w:t>
      </w:r>
      <w:r w:rsidRPr="00254149">
        <w:rPr>
          <w:sz w:val="24"/>
        </w:rPr>
        <w:t>2019 tasumata põhivõlalt (4612,50</w:t>
      </w:r>
      <w:r w:rsidR="00FC163F">
        <w:rPr>
          <w:sz w:val="24"/>
        </w:rPr>
        <w:t> euro</w:t>
      </w:r>
      <w:r w:rsidRPr="00254149">
        <w:rPr>
          <w:sz w:val="24"/>
        </w:rPr>
        <w:t>t) kuni põhivõla tasumiseni.</w:t>
      </w:r>
    </w:p>
    <w:p w:rsidR="006222C9" w:rsidRPr="00254149" w:rsidRDefault="00972EBE" w:rsidP="006222C9">
      <w:pPr>
        <w:spacing w:before="60" w:after="60"/>
        <w:jc w:val="both"/>
        <w:rPr>
          <w:sz w:val="24"/>
        </w:rPr>
      </w:pPr>
      <w:r>
        <w:rPr>
          <w:sz w:val="24"/>
        </w:rPr>
        <w:t xml:space="preserve">Kostja </w:t>
      </w:r>
      <w:r w:rsidR="002B06C2">
        <w:rPr>
          <w:sz w:val="24"/>
        </w:rPr>
        <w:t>tasaarvestus</w:t>
      </w:r>
      <w:r w:rsidR="006222C9" w:rsidRPr="00254149">
        <w:rPr>
          <w:sz w:val="24"/>
        </w:rPr>
        <w:t>avaldus</w:t>
      </w:r>
      <w:r w:rsidR="00E63F3A">
        <w:rPr>
          <w:sz w:val="24"/>
        </w:rPr>
        <w:t>e jättis maa</w:t>
      </w:r>
      <w:r w:rsidR="006222C9">
        <w:rPr>
          <w:sz w:val="24"/>
        </w:rPr>
        <w:t>kohus</w:t>
      </w:r>
      <w:r w:rsidR="006222C9" w:rsidRPr="00254149">
        <w:rPr>
          <w:sz w:val="24"/>
        </w:rPr>
        <w:t xml:space="preserve"> rahuldamata.</w:t>
      </w:r>
    </w:p>
    <w:p w:rsidR="00F544ED" w:rsidRDefault="00E63F3A" w:rsidP="00F544ED">
      <w:pPr>
        <w:spacing w:before="60" w:after="60"/>
        <w:jc w:val="both"/>
        <w:rPr>
          <w:sz w:val="24"/>
        </w:rPr>
      </w:pPr>
      <w:r w:rsidRPr="00254149">
        <w:rPr>
          <w:sz w:val="24"/>
        </w:rPr>
        <w:t>M</w:t>
      </w:r>
      <w:r w:rsidR="006222C9" w:rsidRPr="00254149">
        <w:rPr>
          <w:sz w:val="24"/>
        </w:rPr>
        <w:t xml:space="preserve">enetluskulud </w:t>
      </w:r>
      <w:r>
        <w:rPr>
          <w:sz w:val="24"/>
        </w:rPr>
        <w:t>j</w:t>
      </w:r>
      <w:r w:rsidRPr="00254149">
        <w:rPr>
          <w:sz w:val="24"/>
        </w:rPr>
        <w:t>ätt</w:t>
      </w:r>
      <w:r>
        <w:rPr>
          <w:sz w:val="24"/>
        </w:rPr>
        <w:t>is</w:t>
      </w:r>
      <w:r w:rsidRPr="00254149">
        <w:rPr>
          <w:sz w:val="24"/>
        </w:rPr>
        <w:t xml:space="preserve"> </w:t>
      </w:r>
      <w:r>
        <w:rPr>
          <w:sz w:val="24"/>
        </w:rPr>
        <w:t xml:space="preserve">maakohus </w:t>
      </w:r>
      <w:r w:rsidR="006222C9">
        <w:rPr>
          <w:sz w:val="24"/>
        </w:rPr>
        <w:t xml:space="preserve">kostja kanda ning mõistis kostjalt välja hageja </w:t>
      </w:r>
      <w:r w:rsidR="006222C9" w:rsidRPr="00254149">
        <w:rPr>
          <w:sz w:val="24"/>
        </w:rPr>
        <w:t>menetluskulud summas 1701</w:t>
      </w:r>
      <w:r w:rsidR="00FC163F">
        <w:rPr>
          <w:sz w:val="24"/>
        </w:rPr>
        <w:t> euro</w:t>
      </w:r>
      <w:r w:rsidR="006222C9" w:rsidRPr="00254149">
        <w:rPr>
          <w:sz w:val="24"/>
        </w:rPr>
        <w:t xml:space="preserve">t </w:t>
      </w:r>
      <w:r>
        <w:rPr>
          <w:sz w:val="24"/>
        </w:rPr>
        <w:t xml:space="preserve">(sh </w:t>
      </w:r>
      <w:r w:rsidR="006222C9" w:rsidRPr="00254149">
        <w:rPr>
          <w:sz w:val="24"/>
        </w:rPr>
        <w:t>425</w:t>
      </w:r>
      <w:r w:rsidR="00FC163F">
        <w:rPr>
          <w:sz w:val="24"/>
        </w:rPr>
        <w:t> euro</w:t>
      </w:r>
      <w:r w:rsidR="006222C9" w:rsidRPr="00254149">
        <w:rPr>
          <w:sz w:val="24"/>
        </w:rPr>
        <w:t>t riigilõiv ja 1276</w:t>
      </w:r>
      <w:r w:rsidR="00FC163F">
        <w:rPr>
          <w:sz w:val="24"/>
        </w:rPr>
        <w:t> euro</w:t>
      </w:r>
      <w:r w:rsidR="006222C9">
        <w:rPr>
          <w:sz w:val="24"/>
        </w:rPr>
        <w:t>t õigusabikulu</w:t>
      </w:r>
      <w:r>
        <w:rPr>
          <w:sz w:val="24"/>
        </w:rPr>
        <w:t>)</w:t>
      </w:r>
      <w:r w:rsidR="006222C9">
        <w:rPr>
          <w:sz w:val="24"/>
        </w:rPr>
        <w:t xml:space="preserve"> ning </w:t>
      </w:r>
      <w:r w:rsidR="006222C9" w:rsidRPr="00254149">
        <w:rPr>
          <w:sz w:val="24"/>
        </w:rPr>
        <w:t>viivis</w:t>
      </w:r>
      <w:r w:rsidR="006222C9">
        <w:rPr>
          <w:sz w:val="24"/>
        </w:rPr>
        <w:t>e</w:t>
      </w:r>
      <w:r w:rsidR="006222C9" w:rsidRPr="00254149">
        <w:rPr>
          <w:sz w:val="24"/>
        </w:rPr>
        <w:t xml:space="preserve"> väljamõistetud menetluskuludelt </w:t>
      </w:r>
      <w:r w:rsidR="002B06C2">
        <w:rPr>
          <w:sz w:val="24"/>
        </w:rPr>
        <w:t>VÕS </w:t>
      </w:r>
      <w:r w:rsidR="00FC163F">
        <w:rPr>
          <w:sz w:val="24"/>
        </w:rPr>
        <w:t>§ </w:t>
      </w:r>
      <w:r w:rsidR="006222C9" w:rsidRPr="00254149">
        <w:rPr>
          <w:sz w:val="24"/>
        </w:rPr>
        <w:t>113</w:t>
      </w:r>
      <w:r w:rsidR="00FC163F">
        <w:rPr>
          <w:sz w:val="24"/>
        </w:rPr>
        <w:t xml:space="preserve"> lg </w:t>
      </w:r>
      <w:r w:rsidR="002B06C2">
        <w:rPr>
          <w:sz w:val="24"/>
        </w:rPr>
        <w:t xml:space="preserve">1 lauses 2 sätestatud määras </w:t>
      </w:r>
      <w:r w:rsidR="006222C9" w:rsidRPr="00254149">
        <w:rPr>
          <w:sz w:val="24"/>
        </w:rPr>
        <w:t>alates otsuse jõustumisest kuni selle täitmiseni.</w:t>
      </w:r>
    </w:p>
    <w:p w:rsidR="00F544ED" w:rsidRPr="00F544ED" w:rsidRDefault="006222C9" w:rsidP="00F544ED">
      <w:pPr>
        <w:spacing w:before="60" w:after="60"/>
        <w:jc w:val="both"/>
        <w:rPr>
          <w:sz w:val="24"/>
        </w:rPr>
      </w:pPr>
      <w:r w:rsidRPr="00F544ED">
        <w:rPr>
          <w:sz w:val="24"/>
          <w:szCs w:val="24"/>
        </w:rPr>
        <w:t xml:space="preserve">Kohtuotsuse põhjenduste kohaselt </w:t>
      </w:r>
      <w:r w:rsidR="00F544ED" w:rsidRPr="00F544ED">
        <w:rPr>
          <w:sz w:val="24"/>
        </w:rPr>
        <w:t xml:space="preserve">on </w:t>
      </w:r>
      <w:r w:rsidR="0042783C">
        <w:rPr>
          <w:sz w:val="24"/>
        </w:rPr>
        <w:t xml:space="preserve">kostja </w:t>
      </w:r>
      <w:r w:rsidR="00F544ED" w:rsidRPr="00F544ED">
        <w:rPr>
          <w:sz w:val="24"/>
        </w:rPr>
        <w:t>laenulepingu</w:t>
      </w:r>
      <w:r w:rsidR="0042783C">
        <w:rPr>
          <w:sz w:val="24"/>
        </w:rPr>
        <w:t>te</w:t>
      </w:r>
      <w:r w:rsidR="00F544ED" w:rsidRPr="00F544ED">
        <w:rPr>
          <w:sz w:val="24"/>
        </w:rPr>
        <w:t xml:space="preserve"> p</w:t>
      </w:r>
      <w:r w:rsidR="00F544ED">
        <w:rPr>
          <w:sz w:val="24"/>
        </w:rPr>
        <w:t> </w:t>
      </w:r>
      <w:r w:rsidR="00F544ED" w:rsidRPr="00F544ED">
        <w:rPr>
          <w:sz w:val="24"/>
        </w:rPr>
        <w:t xml:space="preserve">3.1 </w:t>
      </w:r>
      <w:r w:rsidR="0042783C">
        <w:rPr>
          <w:sz w:val="24"/>
        </w:rPr>
        <w:t xml:space="preserve">järgi </w:t>
      </w:r>
      <w:r w:rsidR="00F544ED" w:rsidRPr="00F544ED">
        <w:rPr>
          <w:sz w:val="24"/>
        </w:rPr>
        <w:t xml:space="preserve">kohustatud tagastama </w:t>
      </w:r>
      <w:r w:rsidR="0042783C" w:rsidRPr="00F544ED">
        <w:rPr>
          <w:sz w:val="24"/>
        </w:rPr>
        <w:t>laenusumma</w:t>
      </w:r>
      <w:r w:rsidR="0042783C">
        <w:rPr>
          <w:sz w:val="24"/>
        </w:rPr>
        <w:t>d (kokku 4612,50 </w:t>
      </w:r>
      <w:r w:rsidR="0042783C" w:rsidRPr="00F544ED">
        <w:rPr>
          <w:sz w:val="24"/>
        </w:rPr>
        <w:t>eurot</w:t>
      </w:r>
      <w:r w:rsidR="0042783C">
        <w:rPr>
          <w:sz w:val="24"/>
        </w:rPr>
        <w:t xml:space="preserve">) hagejale </w:t>
      </w:r>
      <w:r w:rsidR="00F544ED" w:rsidRPr="00F544ED">
        <w:rPr>
          <w:sz w:val="24"/>
        </w:rPr>
        <w:t xml:space="preserve">pärast </w:t>
      </w:r>
      <w:r w:rsidR="00050A6E" w:rsidRPr="00F544ED">
        <w:rPr>
          <w:sz w:val="24"/>
        </w:rPr>
        <w:t xml:space="preserve">toetuse laekumist </w:t>
      </w:r>
      <w:r w:rsidR="00F544ED" w:rsidRPr="00F544ED">
        <w:rPr>
          <w:sz w:val="24"/>
        </w:rPr>
        <w:t xml:space="preserve">PRIA-st, laen tuli tagastada hiljemalt 31.05.2015. </w:t>
      </w:r>
      <w:r w:rsidR="00F544ED">
        <w:rPr>
          <w:sz w:val="24"/>
        </w:rPr>
        <w:t>K</w:t>
      </w:r>
      <w:r w:rsidR="00F544ED" w:rsidRPr="00F544ED">
        <w:rPr>
          <w:sz w:val="24"/>
        </w:rPr>
        <w:t>ostja on P</w:t>
      </w:r>
      <w:r w:rsidR="00070BEE">
        <w:rPr>
          <w:sz w:val="24"/>
        </w:rPr>
        <w:t>RIA-st toetuse saanud. Seega on</w:t>
      </w:r>
      <w:r w:rsidR="00F544ED" w:rsidRPr="00F544ED">
        <w:rPr>
          <w:sz w:val="24"/>
        </w:rPr>
        <w:t xml:space="preserve"> laenu tagastamise tingimus saabunud </w:t>
      </w:r>
      <w:r w:rsidR="0042783C">
        <w:rPr>
          <w:sz w:val="24"/>
        </w:rPr>
        <w:t>ning</w:t>
      </w:r>
      <w:r w:rsidR="00F544ED" w:rsidRPr="00F544ED">
        <w:rPr>
          <w:sz w:val="24"/>
        </w:rPr>
        <w:t xml:space="preserve"> igal juhul on saabunud lepingu täitmi</w:t>
      </w:r>
      <w:r w:rsidR="00F544ED">
        <w:rPr>
          <w:sz w:val="24"/>
        </w:rPr>
        <w:t>se tähtaeg 31.05.2015.</w:t>
      </w:r>
    </w:p>
    <w:p w:rsidR="00710859" w:rsidRDefault="00E27739" w:rsidP="00254149">
      <w:pPr>
        <w:spacing w:before="60" w:after="60"/>
        <w:jc w:val="both"/>
        <w:rPr>
          <w:sz w:val="24"/>
        </w:rPr>
      </w:pPr>
      <w:r w:rsidRPr="00254149">
        <w:rPr>
          <w:sz w:val="24"/>
        </w:rPr>
        <w:t xml:space="preserve">Kostja </w:t>
      </w:r>
      <w:r w:rsidR="00AC2D97">
        <w:rPr>
          <w:sz w:val="24"/>
        </w:rPr>
        <w:t>on esitanud</w:t>
      </w:r>
      <w:r w:rsidRPr="00254149">
        <w:rPr>
          <w:sz w:val="24"/>
        </w:rPr>
        <w:t xml:space="preserve"> vastuväite, et </w:t>
      </w:r>
      <w:r w:rsidR="0042783C">
        <w:rPr>
          <w:sz w:val="24"/>
        </w:rPr>
        <w:t xml:space="preserve">ta </w:t>
      </w:r>
      <w:r w:rsidRPr="00254149">
        <w:rPr>
          <w:sz w:val="24"/>
        </w:rPr>
        <w:t>on hageja nõude tasaarvestanud enda</w:t>
      </w:r>
      <w:r w:rsidR="00D03DC0">
        <w:rPr>
          <w:sz w:val="24"/>
        </w:rPr>
        <w:t xml:space="preserve"> </w:t>
      </w:r>
      <w:r w:rsidRPr="00254149">
        <w:rPr>
          <w:sz w:val="24"/>
        </w:rPr>
        <w:t>nõudega, mis tal oli hageja vastu tulenevalt</w:t>
      </w:r>
      <w:r w:rsidR="00E63F3A" w:rsidRPr="00E63F3A">
        <w:rPr>
          <w:sz w:val="24"/>
        </w:rPr>
        <w:t xml:space="preserve"> </w:t>
      </w:r>
      <w:r w:rsidR="00E63F3A" w:rsidRPr="00254149">
        <w:rPr>
          <w:sz w:val="24"/>
        </w:rPr>
        <w:t>rendisuhtest</w:t>
      </w:r>
      <w:r w:rsidRPr="00254149">
        <w:rPr>
          <w:sz w:val="24"/>
        </w:rPr>
        <w:t xml:space="preserve">. </w:t>
      </w:r>
      <w:r w:rsidR="002B06C2" w:rsidRPr="00254149">
        <w:rPr>
          <w:sz w:val="24"/>
        </w:rPr>
        <w:t>T</w:t>
      </w:r>
      <w:r w:rsidRPr="00254149">
        <w:rPr>
          <w:sz w:val="24"/>
        </w:rPr>
        <w:t>asaarvestuse nõude esitas kostja siis, kui menetlus oli kestnud peaaegu aasta</w:t>
      </w:r>
      <w:r w:rsidR="002C0596">
        <w:rPr>
          <w:sz w:val="24"/>
        </w:rPr>
        <w:t>.</w:t>
      </w:r>
      <w:r w:rsidR="006441E3">
        <w:rPr>
          <w:sz w:val="24"/>
        </w:rPr>
        <w:t xml:space="preserve"> </w:t>
      </w:r>
      <w:r w:rsidR="003F6F5A" w:rsidRPr="00254149">
        <w:rPr>
          <w:sz w:val="24"/>
        </w:rPr>
        <w:t>K</w:t>
      </w:r>
      <w:r w:rsidRPr="00254149">
        <w:rPr>
          <w:sz w:val="24"/>
        </w:rPr>
        <w:t xml:space="preserve">ostja ei ole menetluses käitunud heas usus. Kostja on esitanud rendilepingu olemasolu kohta </w:t>
      </w:r>
      <w:r w:rsidR="007C5FC4">
        <w:rPr>
          <w:sz w:val="24"/>
        </w:rPr>
        <w:t>vastuolulisi</w:t>
      </w:r>
      <w:r w:rsidRPr="00254149">
        <w:rPr>
          <w:sz w:val="24"/>
        </w:rPr>
        <w:t xml:space="preserve"> väiteid. </w:t>
      </w:r>
      <w:r w:rsidR="002B06C2">
        <w:rPr>
          <w:sz w:val="24"/>
        </w:rPr>
        <w:t>Kohus leidis</w:t>
      </w:r>
      <w:r w:rsidR="002B06C2" w:rsidRPr="00254149">
        <w:rPr>
          <w:sz w:val="24"/>
        </w:rPr>
        <w:t xml:space="preserve">, et </w:t>
      </w:r>
      <w:r w:rsidR="002B06C2">
        <w:rPr>
          <w:sz w:val="24"/>
        </w:rPr>
        <w:t xml:space="preserve">poolte </w:t>
      </w:r>
      <w:r w:rsidR="002B06C2" w:rsidRPr="00254149">
        <w:rPr>
          <w:sz w:val="24"/>
        </w:rPr>
        <w:t xml:space="preserve">vahel oli suuline rendileping, mille </w:t>
      </w:r>
      <w:r w:rsidR="003017CA">
        <w:rPr>
          <w:sz w:val="24"/>
        </w:rPr>
        <w:t>järgi</w:t>
      </w:r>
      <w:r w:rsidR="002B06C2" w:rsidRPr="00254149">
        <w:rPr>
          <w:sz w:val="24"/>
        </w:rPr>
        <w:t xml:space="preserve"> andis kostja tõstuki ja haagise</w:t>
      </w:r>
      <w:r w:rsidR="00E63F3A" w:rsidRPr="00E63F3A">
        <w:rPr>
          <w:sz w:val="24"/>
        </w:rPr>
        <w:t xml:space="preserve"> </w:t>
      </w:r>
      <w:r w:rsidR="00E63F3A" w:rsidRPr="00254149">
        <w:rPr>
          <w:sz w:val="24"/>
        </w:rPr>
        <w:t>hagejale rendile</w:t>
      </w:r>
      <w:r w:rsidR="002B06C2">
        <w:rPr>
          <w:sz w:val="24"/>
        </w:rPr>
        <w:t>.</w:t>
      </w:r>
      <w:r w:rsidRPr="00254149">
        <w:rPr>
          <w:sz w:val="24"/>
        </w:rPr>
        <w:t xml:space="preserve"> </w:t>
      </w:r>
      <w:r w:rsidR="0042783C" w:rsidRPr="00254149">
        <w:rPr>
          <w:sz w:val="24"/>
        </w:rPr>
        <w:t>E</w:t>
      </w:r>
      <w:r w:rsidR="00CC0704" w:rsidRPr="00254149">
        <w:rPr>
          <w:sz w:val="24"/>
        </w:rPr>
        <w:t xml:space="preserve">luliselt usutav </w:t>
      </w:r>
      <w:r w:rsidR="00CC0704">
        <w:rPr>
          <w:sz w:val="24"/>
        </w:rPr>
        <w:t xml:space="preserve">on </w:t>
      </w:r>
      <w:r w:rsidR="00CC0704" w:rsidRPr="00254149">
        <w:rPr>
          <w:sz w:val="24"/>
        </w:rPr>
        <w:t>hageja väide, et pooled leppisid kokku renditasus 4612,50</w:t>
      </w:r>
      <w:r w:rsidR="00CC0704">
        <w:rPr>
          <w:sz w:val="24"/>
        </w:rPr>
        <w:t> euro</w:t>
      </w:r>
      <w:r w:rsidR="00CC0704" w:rsidRPr="00254149">
        <w:rPr>
          <w:sz w:val="24"/>
        </w:rPr>
        <w:t>t mõlema seadme peale kokku viieks aastaks</w:t>
      </w:r>
      <w:r w:rsidR="00CC0704">
        <w:rPr>
          <w:sz w:val="24"/>
        </w:rPr>
        <w:t xml:space="preserve">. </w:t>
      </w:r>
      <w:r w:rsidR="00CC0704" w:rsidRPr="00254149">
        <w:rPr>
          <w:sz w:val="24"/>
        </w:rPr>
        <w:t>T</w:t>
      </w:r>
      <w:r w:rsidRPr="00254149">
        <w:rPr>
          <w:sz w:val="24"/>
        </w:rPr>
        <w:t>asu maksmise</w:t>
      </w:r>
      <w:r w:rsidR="00197F86">
        <w:rPr>
          <w:sz w:val="24"/>
        </w:rPr>
        <w:t>ks esitas kostja kaks arvet</w:t>
      </w:r>
      <w:r w:rsidRPr="00254149">
        <w:rPr>
          <w:sz w:val="24"/>
        </w:rPr>
        <w:t>: tõstuki renditasu 1</w:t>
      </w:r>
      <w:r w:rsidR="00197F86">
        <w:rPr>
          <w:sz w:val="24"/>
        </w:rPr>
        <w:t xml:space="preserve"> </w:t>
      </w:r>
      <w:r w:rsidRPr="00254149">
        <w:rPr>
          <w:sz w:val="24"/>
        </w:rPr>
        <w:t>perioodiks 1980</w:t>
      </w:r>
      <w:r w:rsidR="00FC163F">
        <w:rPr>
          <w:sz w:val="24"/>
        </w:rPr>
        <w:t> euro</w:t>
      </w:r>
      <w:r w:rsidRPr="00254149">
        <w:rPr>
          <w:sz w:val="24"/>
        </w:rPr>
        <w:t xml:space="preserve">t </w:t>
      </w:r>
      <w:r w:rsidR="002D6FD7">
        <w:rPr>
          <w:sz w:val="24"/>
        </w:rPr>
        <w:t xml:space="preserve">ja </w:t>
      </w:r>
      <w:r w:rsidRPr="00254149">
        <w:rPr>
          <w:sz w:val="24"/>
        </w:rPr>
        <w:t>haagise renditasu 1</w:t>
      </w:r>
      <w:r w:rsidR="000D468A">
        <w:rPr>
          <w:sz w:val="24"/>
        </w:rPr>
        <w:t> </w:t>
      </w:r>
      <w:r w:rsidRPr="00254149">
        <w:rPr>
          <w:sz w:val="24"/>
        </w:rPr>
        <w:t>perioodiks 2632,50</w:t>
      </w:r>
      <w:r w:rsidR="00FC163F">
        <w:rPr>
          <w:sz w:val="24"/>
        </w:rPr>
        <w:t> euro</w:t>
      </w:r>
      <w:r w:rsidR="002B06C2">
        <w:rPr>
          <w:sz w:val="24"/>
        </w:rPr>
        <w:t>t</w:t>
      </w:r>
      <w:r w:rsidRPr="00254149">
        <w:rPr>
          <w:sz w:val="24"/>
        </w:rPr>
        <w:t xml:space="preserve">. </w:t>
      </w:r>
      <w:r w:rsidR="00A4060E">
        <w:rPr>
          <w:sz w:val="24"/>
        </w:rPr>
        <w:t>K</w:t>
      </w:r>
      <w:r w:rsidRPr="00254149">
        <w:rPr>
          <w:sz w:val="24"/>
        </w:rPr>
        <w:t>ostja ei ole hageja</w:t>
      </w:r>
      <w:r w:rsidR="0042783C">
        <w:rPr>
          <w:sz w:val="24"/>
        </w:rPr>
        <w:t>lt</w:t>
      </w:r>
      <w:r w:rsidRPr="00254149">
        <w:rPr>
          <w:sz w:val="24"/>
        </w:rPr>
        <w:t xml:space="preserve"> </w:t>
      </w:r>
      <w:r w:rsidR="0042783C" w:rsidRPr="00254149">
        <w:rPr>
          <w:sz w:val="24"/>
        </w:rPr>
        <w:t xml:space="preserve">pärast </w:t>
      </w:r>
      <w:r w:rsidR="00197F86">
        <w:rPr>
          <w:sz w:val="24"/>
        </w:rPr>
        <w:t xml:space="preserve">27.03.2014 </w:t>
      </w:r>
      <w:r w:rsidR="0089066D">
        <w:rPr>
          <w:sz w:val="24"/>
        </w:rPr>
        <w:t xml:space="preserve">makse tegemist </w:t>
      </w:r>
      <w:r w:rsidRPr="00254149">
        <w:rPr>
          <w:sz w:val="24"/>
        </w:rPr>
        <w:t>täiendavat renditasu</w:t>
      </w:r>
      <w:r w:rsidR="0042783C" w:rsidRPr="0042783C">
        <w:rPr>
          <w:sz w:val="24"/>
        </w:rPr>
        <w:t xml:space="preserve"> </w:t>
      </w:r>
      <w:r w:rsidR="0042783C" w:rsidRPr="00254149">
        <w:rPr>
          <w:sz w:val="24"/>
        </w:rPr>
        <w:t>nõudnud</w:t>
      </w:r>
      <w:r w:rsidRPr="00254149">
        <w:rPr>
          <w:sz w:val="24"/>
        </w:rPr>
        <w:t>. Arvetel olev r</w:t>
      </w:r>
      <w:r w:rsidR="002D6FD7">
        <w:rPr>
          <w:sz w:val="24"/>
        </w:rPr>
        <w:t>e</w:t>
      </w:r>
      <w:r w:rsidRPr="00254149">
        <w:rPr>
          <w:sz w:val="24"/>
        </w:rPr>
        <w:t>nditasu vastab rendilepingute projektides märgitu</w:t>
      </w:r>
      <w:r w:rsidR="006441E3">
        <w:rPr>
          <w:sz w:val="24"/>
        </w:rPr>
        <w:t>le</w:t>
      </w:r>
      <w:r w:rsidRPr="00254149">
        <w:rPr>
          <w:sz w:val="24"/>
        </w:rPr>
        <w:t xml:space="preserve">. </w:t>
      </w:r>
    </w:p>
    <w:p w:rsidR="00CE1721" w:rsidRDefault="00E27739" w:rsidP="00254149">
      <w:pPr>
        <w:spacing w:before="60" w:after="60"/>
        <w:jc w:val="both"/>
        <w:rPr>
          <w:sz w:val="24"/>
        </w:rPr>
      </w:pPr>
      <w:r w:rsidRPr="00254149">
        <w:rPr>
          <w:sz w:val="24"/>
        </w:rPr>
        <w:t>Kohtu hinnang tugineb ka hageja kirjeldatud</w:t>
      </w:r>
      <w:r w:rsidR="00D03DC0">
        <w:rPr>
          <w:sz w:val="24"/>
        </w:rPr>
        <w:t xml:space="preserve"> </w:t>
      </w:r>
      <w:r w:rsidR="0042783C">
        <w:rPr>
          <w:sz w:val="24"/>
        </w:rPr>
        <w:t>sarnaste seadmete tavapärasele</w:t>
      </w:r>
      <w:r w:rsidRPr="00254149">
        <w:rPr>
          <w:sz w:val="24"/>
        </w:rPr>
        <w:t xml:space="preserve"> omandamise </w:t>
      </w:r>
      <w:r w:rsidR="0042783C">
        <w:rPr>
          <w:sz w:val="24"/>
        </w:rPr>
        <w:t>skeemile</w:t>
      </w:r>
      <w:r w:rsidRPr="00254149">
        <w:rPr>
          <w:sz w:val="24"/>
        </w:rPr>
        <w:t>, mille</w:t>
      </w:r>
      <w:r w:rsidR="0042783C">
        <w:rPr>
          <w:sz w:val="24"/>
        </w:rPr>
        <w:t>le</w:t>
      </w:r>
      <w:r w:rsidRPr="00254149">
        <w:rPr>
          <w:sz w:val="24"/>
        </w:rPr>
        <w:t xml:space="preserve"> kostja vastuväiteid ei</w:t>
      </w:r>
      <w:r w:rsidR="00D03DC0">
        <w:rPr>
          <w:sz w:val="24"/>
        </w:rPr>
        <w:t xml:space="preserve"> </w:t>
      </w:r>
      <w:r w:rsidRPr="00254149">
        <w:rPr>
          <w:sz w:val="24"/>
        </w:rPr>
        <w:t xml:space="preserve">esitanud. Nimelt tasuvad kostja liikmed kostjale kogu seadmete müügihinna laenu- ja rendilepingu alusel, kusjuures osa tasumisel saadavast summast saadakse PRIA toetusena. Toetuse tingimuse kohaselt peab seade olema taotleja oma vähemalt 5 aastat. Sellest tulenevalt leppisid </w:t>
      </w:r>
      <w:r w:rsidR="002D6FD7">
        <w:rPr>
          <w:sz w:val="24"/>
        </w:rPr>
        <w:t xml:space="preserve">pooled </w:t>
      </w:r>
      <w:r w:rsidRPr="00254149">
        <w:rPr>
          <w:sz w:val="24"/>
        </w:rPr>
        <w:t xml:space="preserve">kokku, et haagis ja tõstuk on hageja kasutuses, </w:t>
      </w:r>
      <w:r w:rsidR="002D6FD7">
        <w:rPr>
          <w:sz w:val="24"/>
        </w:rPr>
        <w:t xml:space="preserve">kuid </w:t>
      </w:r>
      <w:r w:rsidRPr="00254149">
        <w:rPr>
          <w:sz w:val="24"/>
        </w:rPr>
        <w:t xml:space="preserve">omandiõigus seadmetele läheb üle viie aasta pärast. </w:t>
      </w:r>
      <w:r w:rsidRPr="0042783C">
        <w:rPr>
          <w:sz w:val="24"/>
        </w:rPr>
        <w:t>Kostja on kinnitanud, et seadmeid soovis osta hageja, kuid toetust oli võimalik saada kostjal</w:t>
      </w:r>
      <w:r w:rsidR="002B06C2" w:rsidRPr="0042783C">
        <w:rPr>
          <w:sz w:val="24"/>
        </w:rPr>
        <w:t>.</w:t>
      </w:r>
      <w:r w:rsidR="002B06C2">
        <w:rPr>
          <w:sz w:val="24"/>
        </w:rPr>
        <w:t xml:space="preserve"> PRIA </w:t>
      </w:r>
      <w:r w:rsidRPr="00254149">
        <w:rPr>
          <w:sz w:val="24"/>
        </w:rPr>
        <w:t>toeta</w:t>
      </w:r>
      <w:r w:rsidR="0042783C">
        <w:rPr>
          <w:sz w:val="24"/>
        </w:rPr>
        <w:t>s</w:t>
      </w:r>
      <w:r w:rsidRPr="00254149">
        <w:rPr>
          <w:sz w:val="24"/>
        </w:rPr>
        <w:t xml:space="preserve"> kostjat seadmete ostu</w:t>
      </w:r>
      <w:r w:rsidR="002B06C2">
        <w:rPr>
          <w:sz w:val="24"/>
        </w:rPr>
        <w:t>l</w:t>
      </w:r>
      <w:r w:rsidRPr="00254149">
        <w:rPr>
          <w:sz w:val="24"/>
        </w:rPr>
        <w:t xml:space="preserve"> pooles ulatuses (v.a</w:t>
      </w:r>
      <w:r w:rsidR="002B06C2">
        <w:rPr>
          <w:sz w:val="24"/>
        </w:rPr>
        <w:t> </w:t>
      </w:r>
      <w:r w:rsidRPr="00254149">
        <w:rPr>
          <w:sz w:val="24"/>
        </w:rPr>
        <w:t>käibemaks), kokku 3843,75</w:t>
      </w:r>
      <w:r w:rsidR="00FC163F">
        <w:rPr>
          <w:sz w:val="24"/>
        </w:rPr>
        <w:t> euro</w:t>
      </w:r>
      <w:r w:rsidRPr="00254149">
        <w:rPr>
          <w:sz w:val="24"/>
        </w:rPr>
        <w:t xml:space="preserve">t. </w:t>
      </w:r>
      <w:r w:rsidR="004E7EF7">
        <w:rPr>
          <w:sz w:val="24"/>
        </w:rPr>
        <w:t>Toetus maksti k</w:t>
      </w:r>
      <w:r w:rsidRPr="00254149">
        <w:rPr>
          <w:sz w:val="24"/>
        </w:rPr>
        <w:t xml:space="preserve">ostjale </w:t>
      </w:r>
      <w:r w:rsidR="002B06C2">
        <w:rPr>
          <w:sz w:val="24"/>
        </w:rPr>
        <w:t>välja 13.08.2014. Kohus leidis</w:t>
      </w:r>
      <w:r w:rsidRPr="00254149">
        <w:rPr>
          <w:sz w:val="24"/>
        </w:rPr>
        <w:t xml:space="preserve"> laenu- ja rendilepinguid koosmõjus hinnates, et nende sõlmimise eesmärk oli võimaldada hagejal soetada seadmed soodushinnaga, s.o poole hinnaga. </w:t>
      </w:r>
      <w:r w:rsidR="002B06C2">
        <w:rPr>
          <w:sz w:val="24"/>
        </w:rPr>
        <w:t xml:space="preserve">Ei </w:t>
      </w:r>
      <w:r w:rsidRPr="00254149">
        <w:rPr>
          <w:sz w:val="24"/>
        </w:rPr>
        <w:t>ole eluliselt usutav, et hageja oleks soovinud seadmed osta täishinnaga vahendaja kaudu ilma,</w:t>
      </w:r>
      <w:r w:rsidR="00D03DC0">
        <w:rPr>
          <w:sz w:val="24"/>
        </w:rPr>
        <w:t xml:space="preserve"> </w:t>
      </w:r>
      <w:r w:rsidRPr="00254149">
        <w:rPr>
          <w:sz w:val="24"/>
        </w:rPr>
        <w:t xml:space="preserve">et </w:t>
      </w:r>
      <w:r w:rsidR="002D6FD7">
        <w:rPr>
          <w:sz w:val="24"/>
        </w:rPr>
        <w:t xml:space="preserve">ta </w:t>
      </w:r>
      <w:r w:rsidRPr="00254149">
        <w:rPr>
          <w:sz w:val="24"/>
        </w:rPr>
        <w:t xml:space="preserve">saaks seadmete omanikuks viie aasta jooksul. Vastasel juhul oleks hageja võinud pöörduda </w:t>
      </w:r>
      <w:r w:rsidR="00EC4896">
        <w:rPr>
          <w:sz w:val="24"/>
        </w:rPr>
        <w:t>otse müüja poole</w:t>
      </w:r>
      <w:r w:rsidRPr="00254149">
        <w:rPr>
          <w:sz w:val="24"/>
        </w:rPr>
        <w:t>. Võrreldes l</w:t>
      </w:r>
      <w:r w:rsidR="002D6FD7">
        <w:rPr>
          <w:sz w:val="24"/>
        </w:rPr>
        <w:t>aenu-</w:t>
      </w:r>
      <w:r w:rsidR="00D238FB">
        <w:rPr>
          <w:sz w:val="24"/>
        </w:rPr>
        <w:t xml:space="preserve"> ja rendisummat seadm</w:t>
      </w:r>
      <w:r w:rsidRPr="00254149">
        <w:rPr>
          <w:sz w:val="24"/>
        </w:rPr>
        <w:t xml:space="preserve">ete </w:t>
      </w:r>
      <w:r w:rsidRPr="00254149">
        <w:rPr>
          <w:sz w:val="24"/>
        </w:rPr>
        <w:lastRenderedPageBreak/>
        <w:t>kogumaksumusega</w:t>
      </w:r>
      <w:r w:rsidR="002A0C3C">
        <w:rPr>
          <w:sz w:val="24"/>
        </w:rPr>
        <w:t>,</w:t>
      </w:r>
      <w:r w:rsidRPr="00254149">
        <w:rPr>
          <w:sz w:val="24"/>
        </w:rPr>
        <w:t xml:space="preserve"> on ilmne, et hageja ja kostja </w:t>
      </w:r>
      <w:r w:rsidR="002B06C2" w:rsidRPr="00254149">
        <w:rPr>
          <w:sz w:val="24"/>
        </w:rPr>
        <w:t xml:space="preserve">kasutasid </w:t>
      </w:r>
      <w:r w:rsidRPr="00254149">
        <w:rPr>
          <w:sz w:val="24"/>
        </w:rPr>
        <w:t xml:space="preserve">sama skeemi </w:t>
      </w:r>
      <w:r w:rsidR="002D6FD7">
        <w:rPr>
          <w:sz w:val="24"/>
        </w:rPr>
        <w:t>ning</w:t>
      </w:r>
      <w:r w:rsidRPr="00254149">
        <w:rPr>
          <w:sz w:val="24"/>
        </w:rPr>
        <w:t xml:space="preserve"> arvetel märgitud rendisumma suurus on eluliselt usutav</w:t>
      </w:r>
      <w:r w:rsidR="009F47EC">
        <w:rPr>
          <w:sz w:val="24"/>
        </w:rPr>
        <w:t>.</w:t>
      </w:r>
    </w:p>
    <w:p w:rsidR="009F47EC" w:rsidRDefault="00E27739" w:rsidP="00254149">
      <w:pPr>
        <w:spacing w:before="60" w:after="60"/>
        <w:jc w:val="both"/>
        <w:rPr>
          <w:sz w:val="24"/>
        </w:rPr>
      </w:pPr>
      <w:r w:rsidRPr="00254149">
        <w:rPr>
          <w:sz w:val="24"/>
        </w:rPr>
        <w:t xml:space="preserve">Kuna rendisumma on hageja poolt tasutud, puudub </w:t>
      </w:r>
      <w:r w:rsidR="00860060">
        <w:rPr>
          <w:sz w:val="24"/>
        </w:rPr>
        <w:t xml:space="preserve">kostjal </w:t>
      </w:r>
      <w:r w:rsidRPr="00254149">
        <w:rPr>
          <w:sz w:val="24"/>
        </w:rPr>
        <w:t>tasaarvestatav nõue hageja vastu</w:t>
      </w:r>
      <w:r w:rsidR="009F47EC">
        <w:rPr>
          <w:sz w:val="24"/>
        </w:rPr>
        <w:t>.</w:t>
      </w:r>
    </w:p>
    <w:p w:rsidR="00E27739" w:rsidRPr="00254149" w:rsidRDefault="002D6FD7" w:rsidP="00254149">
      <w:pPr>
        <w:spacing w:before="60" w:after="60"/>
        <w:jc w:val="both"/>
        <w:rPr>
          <w:sz w:val="24"/>
        </w:rPr>
      </w:pPr>
      <w:r w:rsidRPr="00254149">
        <w:rPr>
          <w:sz w:val="24"/>
        </w:rPr>
        <w:t>L</w:t>
      </w:r>
      <w:r w:rsidR="00E27739" w:rsidRPr="00254149">
        <w:rPr>
          <w:sz w:val="24"/>
        </w:rPr>
        <w:t xml:space="preserve">aenulepingute </w:t>
      </w:r>
      <w:r w:rsidR="00FC163F">
        <w:rPr>
          <w:sz w:val="24"/>
        </w:rPr>
        <w:t>p </w:t>
      </w:r>
      <w:r w:rsidR="00E27739" w:rsidRPr="00254149">
        <w:rPr>
          <w:sz w:val="24"/>
        </w:rPr>
        <w:t xml:space="preserve">3 sisaldab kahte laenu tagastamise viisi, sõltuvalt </w:t>
      </w:r>
      <w:r w:rsidR="00204D3D">
        <w:rPr>
          <w:sz w:val="24"/>
        </w:rPr>
        <w:t>PRIA toetuse maksmisest</w:t>
      </w:r>
      <w:r w:rsidR="00F71E6A">
        <w:rPr>
          <w:sz w:val="24"/>
        </w:rPr>
        <w:t>.</w:t>
      </w:r>
      <w:r w:rsidR="00204D3D">
        <w:rPr>
          <w:sz w:val="24"/>
        </w:rPr>
        <w:t xml:space="preserve"> </w:t>
      </w:r>
      <w:r w:rsidR="0042783C" w:rsidRPr="00254149">
        <w:rPr>
          <w:sz w:val="24"/>
        </w:rPr>
        <w:t>L</w:t>
      </w:r>
      <w:r w:rsidR="00E27739" w:rsidRPr="00254149">
        <w:rPr>
          <w:sz w:val="24"/>
        </w:rPr>
        <w:t xml:space="preserve">eping </w:t>
      </w:r>
      <w:r w:rsidR="0042783C" w:rsidRPr="00254149">
        <w:rPr>
          <w:sz w:val="24"/>
        </w:rPr>
        <w:t xml:space="preserve">välistab </w:t>
      </w:r>
      <w:r w:rsidR="00E27739" w:rsidRPr="00254149">
        <w:rPr>
          <w:sz w:val="24"/>
        </w:rPr>
        <w:t>p</w:t>
      </w:r>
      <w:r w:rsidR="0042783C">
        <w:rPr>
          <w:sz w:val="24"/>
        </w:rPr>
        <w:t>-</w:t>
      </w:r>
      <w:r w:rsidR="00E27739" w:rsidRPr="00254149">
        <w:rPr>
          <w:sz w:val="24"/>
        </w:rPr>
        <w:t>de</w:t>
      </w:r>
      <w:r w:rsidR="0042783C">
        <w:rPr>
          <w:sz w:val="24"/>
        </w:rPr>
        <w:t> </w:t>
      </w:r>
      <w:r w:rsidR="00F71E6A" w:rsidRPr="00254149">
        <w:rPr>
          <w:sz w:val="24"/>
        </w:rPr>
        <w:t xml:space="preserve">3.1 </w:t>
      </w:r>
      <w:r w:rsidR="00F71E6A">
        <w:rPr>
          <w:sz w:val="24"/>
        </w:rPr>
        <w:t>ja 3.3</w:t>
      </w:r>
      <w:r w:rsidR="00F71E6A" w:rsidRPr="00254149">
        <w:rPr>
          <w:sz w:val="24"/>
        </w:rPr>
        <w:t xml:space="preserve"> </w:t>
      </w:r>
      <w:r w:rsidR="00E27739" w:rsidRPr="00254149">
        <w:rPr>
          <w:sz w:val="24"/>
        </w:rPr>
        <w:t xml:space="preserve">samal ajal kohaldamise. </w:t>
      </w:r>
      <w:r w:rsidRPr="00254149">
        <w:rPr>
          <w:sz w:val="24"/>
        </w:rPr>
        <w:t>P</w:t>
      </w:r>
      <w:r>
        <w:rPr>
          <w:sz w:val="24"/>
        </w:rPr>
        <w:t>unkti</w:t>
      </w:r>
      <w:r w:rsidR="00204D3D">
        <w:rPr>
          <w:sz w:val="24"/>
        </w:rPr>
        <w:t>s</w:t>
      </w:r>
      <w:r w:rsidR="00E27739" w:rsidRPr="00254149">
        <w:rPr>
          <w:sz w:val="24"/>
        </w:rPr>
        <w:t>t</w:t>
      </w:r>
      <w:r w:rsidR="00204D3D">
        <w:rPr>
          <w:sz w:val="24"/>
        </w:rPr>
        <w:t> </w:t>
      </w:r>
      <w:r w:rsidR="00E27739" w:rsidRPr="00254149">
        <w:rPr>
          <w:sz w:val="24"/>
        </w:rPr>
        <w:t xml:space="preserve">3.3 tulenevalt </w:t>
      </w:r>
      <w:r>
        <w:rPr>
          <w:sz w:val="24"/>
        </w:rPr>
        <w:t xml:space="preserve">on </w:t>
      </w:r>
      <w:r w:rsidR="00E27739" w:rsidRPr="00254149">
        <w:rPr>
          <w:sz w:val="24"/>
        </w:rPr>
        <w:t>nõudeid võimalik tasaarvestada üksne</w:t>
      </w:r>
      <w:r w:rsidR="00204D3D">
        <w:rPr>
          <w:sz w:val="24"/>
        </w:rPr>
        <w:t xml:space="preserve">s siis, kui PRIA </w:t>
      </w:r>
      <w:r>
        <w:rPr>
          <w:sz w:val="24"/>
        </w:rPr>
        <w:t xml:space="preserve">kostjale toetust ei maksa. Kuna </w:t>
      </w:r>
      <w:r w:rsidR="0042783C">
        <w:rPr>
          <w:sz w:val="24"/>
        </w:rPr>
        <w:t xml:space="preserve">PRIA maksis kostjale </w:t>
      </w:r>
      <w:r>
        <w:rPr>
          <w:sz w:val="24"/>
        </w:rPr>
        <w:t>toetust</w:t>
      </w:r>
      <w:r w:rsidR="00E27739" w:rsidRPr="00254149">
        <w:rPr>
          <w:sz w:val="24"/>
        </w:rPr>
        <w:t xml:space="preserve">, siis </w:t>
      </w:r>
      <w:r w:rsidR="00204D3D">
        <w:rPr>
          <w:sz w:val="24"/>
        </w:rPr>
        <w:t xml:space="preserve">on </w:t>
      </w:r>
      <w:r w:rsidR="00E27739" w:rsidRPr="00254149">
        <w:rPr>
          <w:sz w:val="24"/>
        </w:rPr>
        <w:t>hagejal õigus nõuda lepingu</w:t>
      </w:r>
      <w:r w:rsidR="005E366C">
        <w:rPr>
          <w:sz w:val="24"/>
        </w:rPr>
        <w:t>te</w:t>
      </w:r>
      <w:r w:rsidR="00E27739" w:rsidRPr="00254149">
        <w:rPr>
          <w:sz w:val="24"/>
        </w:rPr>
        <w:t xml:space="preserve"> </w:t>
      </w:r>
      <w:r w:rsidR="00FC163F">
        <w:rPr>
          <w:sz w:val="24"/>
        </w:rPr>
        <w:t>p </w:t>
      </w:r>
      <w:r>
        <w:rPr>
          <w:sz w:val="24"/>
        </w:rPr>
        <w:t>3.1 alusel laenusummat</w:t>
      </w:r>
      <w:r w:rsidR="00E27739" w:rsidRPr="00254149">
        <w:rPr>
          <w:sz w:val="24"/>
        </w:rPr>
        <w:t xml:space="preserve"> 4612,50</w:t>
      </w:r>
      <w:r w:rsidR="00FC163F">
        <w:rPr>
          <w:sz w:val="24"/>
        </w:rPr>
        <w:t> euro</w:t>
      </w:r>
      <w:r w:rsidR="00E27739" w:rsidRPr="00254149">
        <w:rPr>
          <w:sz w:val="24"/>
        </w:rPr>
        <w:t>t</w:t>
      </w:r>
      <w:r w:rsidR="006C3292">
        <w:rPr>
          <w:sz w:val="24"/>
        </w:rPr>
        <w:t>, millele lisandub viivis.</w:t>
      </w:r>
    </w:p>
    <w:p w:rsidR="00E27739" w:rsidRPr="00254149" w:rsidRDefault="00E27739" w:rsidP="00254149">
      <w:pPr>
        <w:spacing w:before="60" w:after="60"/>
        <w:jc w:val="both"/>
        <w:rPr>
          <w:sz w:val="24"/>
        </w:rPr>
      </w:pPr>
    </w:p>
    <w:p w:rsidR="00D03DC0" w:rsidRPr="00AE433F" w:rsidRDefault="00D03DC0" w:rsidP="00D03DC0">
      <w:pPr>
        <w:spacing w:before="60" w:after="60"/>
        <w:jc w:val="both"/>
        <w:rPr>
          <w:b/>
          <w:sz w:val="24"/>
          <w:szCs w:val="24"/>
        </w:rPr>
      </w:pPr>
      <w:r w:rsidRPr="00AE433F">
        <w:rPr>
          <w:b/>
          <w:sz w:val="24"/>
          <w:szCs w:val="24"/>
        </w:rPr>
        <w:t>ASJAOSALISTE TAOTLUSED JA PÕHJENDUSED</w:t>
      </w:r>
    </w:p>
    <w:p w:rsidR="00D03DC0" w:rsidRDefault="00D03DC0" w:rsidP="00D03DC0">
      <w:pPr>
        <w:spacing w:before="60" w:after="60"/>
        <w:jc w:val="both"/>
        <w:rPr>
          <w:sz w:val="24"/>
        </w:rPr>
      </w:pPr>
      <w:r>
        <w:rPr>
          <w:b/>
          <w:sz w:val="24"/>
          <w:szCs w:val="24"/>
        </w:rPr>
        <w:t>4</w:t>
      </w:r>
      <w:r w:rsidRPr="00AE433F">
        <w:rPr>
          <w:b/>
          <w:sz w:val="24"/>
          <w:szCs w:val="24"/>
        </w:rPr>
        <w:t xml:space="preserve">. </w:t>
      </w:r>
      <w:r w:rsidR="00204D3D">
        <w:rPr>
          <w:sz w:val="24"/>
          <w:szCs w:val="24"/>
        </w:rPr>
        <w:t>M</w:t>
      </w:r>
      <w:r w:rsidRPr="00D45D2C">
        <w:rPr>
          <w:sz w:val="24"/>
          <w:szCs w:val="24"/>
        </w:rPr>
        <w:t>ittetulun</w:t>
      </w:r>
      <w:r>
        <w:rPr>
          <w:sz w:val="24"/>
          <w:szCs w:val="24"/>
        </w:rPr>
        <w:t>dusühing</w:t>
      </w:r>
      <w:r w:rsidRPr="00D45D2C">
        <w:rPr>
          <w:sz w:val="24"/>
          <w:szCs w:val="24"/>
        </w:rPr>
        <w:t xml:space="preserve"> „Kesk</w:t>
      </w:r>
      <w:r w:rsidRPr="00D45D2C">
        <w:rPr>
          <w:sz w:val="24"/>
          <w:szCs w:val="24"/>
        </w:rPr>
        <w:noBreakHyphen/>
        <w:t xml:space="preserve">Eesti Metsaomanikud“ </w:t>
      </w:r>
      <w:r w:rsidRPr="007E61EF">
        <w:rPr>
          <w:sz w:val="24"/>
          <w:szCs w:val="24"/>
        </w:rPr>
        <w:t>esitas</w:t>
      </w:r>
      <w:r w:rsidRPr="0083682B">
        <w:rPr>
          <w:sz w:val="24"/>
          <w:szCs w:val="24"/>
        </w:rPr>
        <w:t xml:space="preserve"> </w:t>
      </w:r>
      <w:r>
        <w:rPr>
          <w:sz w:val="24"/>
          <w:szCs w:val="24"/>
        </w:rPr>
        <w:t>apellatsioonkaebuse, milles</w:t>
      </w:r>
      <w:r w:rsidRPr="00AE433F">
        <w:rPr>
          <w:sz w:val="24"/>
          <w:szCs w:val="24"/>
        </w:rPr>
        <w:t xml:space="preserve"> taotleb </w:t>
      </w:r>
      <w:r>
        <w:rPr>
          <w:sz w:val="24"/>
          <w:szCs w:val="24"/>
        </w:rPr>
        <w:t xml:space="preserve">Tartu Maakohtu 24. jaanuari 2019 </w:t>
      </w:r>
      <w:r w:rsidRPr="00AE433F">
        <w:rPr>
          <w:sz w:val="24"/>
          <w:szCs w:val="24"/>
        </w:rPr>
        <w:t>otsuse tühistamist</w:t>
      </w:r>
      <w:r>
        <w:rPr>
          <w:sz w:val="24"/>
          <w:szCs w:val="24"/>
        </w:rPr>
        <w:t xml:space="preserve"> ning</w:t>
      </w:r>
      <w:r w:rsidRPr="00254149">
        <w:rPr>
          <w:sz w:val="24"/>
        </w:rPr>
        <w:t xml:space="preserve"> uue otsuse</w:t>
      </w:r>
      <w:r>
        <w:rPr>
          <w:sz w:val="24"/>
        </w:rPr>
        <w:t xml:space="preserve"> tegemist</w:t>
      </w:r>
      <w:r w:rsidRPr="00254149">
        <w:rPr>
          <w:sz w:val="24"/>
        </w:rPr>
        <w:t>, millega jätta hagi rahuldamata</w:t>
      </w:r>
      <w:r>
        <w:rPr>
          <w:sz w:val="24"/>
        </w:rPr>
        <w:t xml:space="preserve"> ja m</w:t>
      </w:r>
      <w:r w:rsidRPr="00254149">
        <w:rPr>
          <w:sz w:val="24"/>
        </w:rPr>
        <w:t>enetluskulud vastustaja kanda</w:t>
      </w:r>
      <w:r>
        <w:rPr>
          <w:sz w:val="24"/>
        </w:rPr>
        <w:t>.</w:t>
      </w:r>
    </w:p>
    <w:p w:rsidR="00D03DC0" w:rsidRPr="00AE433F" w:rsidRDefault="00D03DC0" w:rsidP="00D03DC0">
      <w:pPr>
        <w:spacing w:before="60" w:after="60"/>
        <w:jc w:val="both"/>
        <w:rPr>
          <w:sz w:val="24"/>
          <w:szCs w:val="24"/>
        </w:rPr>
      </w:pPr>
      <w:r>
        <w:rPr>
          <w:sz w:val="24"/>
          <w:szCs w:val="24"/>
        </w:rPr>
        <w:t>Apellatsioonkaebuse põhjenduste kohaselt</w:t>
      </w:r>
      <w:r w:rsidRPr="00AE433F">
        <w:rPr>
          <w:sz w:val="24"/>
          <w:szCs w:val="24"/>
        </w:rPr>
        <w:t>:</w:t>
      </w:r>
    </w:p>
    <w:p w:rsidR="00E0614C" w:rsidRDefault="0087065F" w:rsidP="00254149">
      <w:pPr>
        <w:spacing w:before="60" w:after="60"/>
        <w:jc w:val="both"/>
        <w:rPr>
          <w:sz w:val="24"/>
        </w:rPr>
      </w:pPr>
      <w:r w:rsidRPr="00254149">
        <w:rPr>
          <w:sz w:val="24"/>
        </w:rPr>
        <w:t>1</w:t>
      </w:r>
      <w:r w:rsidR="00C67E02">
        <w:rPr>
          <w:sz w:val="24"/>
        </w:rPr>
        <w:t>)</w:t>
      </w:r>
      <w:r w:rsidRPr="00254149">
        <w:rPr>
          <w:sz w:val="24"/>
        </w:rPr>
        <w:t xml:space="preserve"> </w:t>
      </w:r>
      <w:r w:rsidR="003A029C">
        <w:rPr>
          <w:sz w:val="24"/>
        </w:rPr>
        <w:t xml:space="preserve">ei ole </w:t>
      </w:r>
      <w:r w:rsidRPr="00254149">
        <w:rPr>
          <w:sz w:val="24"/>
        </w:rPr>
        <w:t>kohus välja selgitanud poolte tegelikku tahet algse lepingu sõlmimisel</w:t>
      </w:r>
      <w:r w:rsidR="00E0614C">
        <w:rPr>
          <w:sz w:val="24"/>
        </w:rPr>
        <w:t>;</w:t>
      </w:r>
    </w:p>
    <w:p w:rsidR="00371538" w:rsidRDefault="00E0614C" w:rsidP="00254149">
      <w:pPr>
        <w:spacing w:before="60" w:after="60"/>
        <w:jc w:val="both"/>
        <w:rPr>
          <w:sz w:val="24"/>
        </w:rPr>
      </w:pPr>
      <w:r>
        <w:rPr>
          <w:sz w:val="24"/>
        </w:rPr>
        <w:t xml:space="preserve">2) </w:t>
      </w:r>
      <w:r w:rsidR="00371538">
        <w:rPr>
          <w:sz w:val="24"/>
        </w:rPr>
        <w:t xml:space="preserve">asus </w:t>
      </w:r>
      <w:r>
        <w:rPr>
          <w:sz w:val="24"/>
        </w:rPr>
        <w:t>k</w:t>
      </w:r>
      <w:r w:rsidRPr="00254149">
        <w:rPr>
          <w:sz w:val="24"/>
        </w:rPr>
        <w:t>ohu</w:t>
      </w:r>
      <w:r>
        <w:rPr>
          <w:sz w:val="24"/>
        </w:rPr>
        <w:t>s</w:t>
      </w:r>
      <w:r w:rsidRPr="00254149">
        <w:rPr>
          <w:sz w:val="24"/>
        </w:rPr>
        <w:t xml:space="preserve"> </w:t>
      </w:r>
      <w:r w:rsidR="0087065F" w:rsidRPr="00254149">
        <w:rPr>
          <w:sz w:val="24"/>
        </w:rPr>
        <w:t xml:space="preserve">seisukohale, et poolte kokkuleppe </w:t>
      </w:r>
      <w:r w:rsidR="00204D3D">
        <w:rPr>
          <w:sz w:val="24"/>
        </w:rPr>
        <w:t xml:space="preserve">järgi </w:t>
      </w:r>
      <w:r w:rsidR="0087065F" w:rsidRPr="00254149">
        <w:rPr>
          <w:sz w:val="24"/>
        </w:rPr>
        <w:t xml:space="preserve">pidi haagise ja tõstuki omandiõigus üle antama hagejale. Tegemist on võõrandamislepingule omase tingimusega. </w:t>
      </w:r>
      <w:r w:rsidR="00463A4A" w:rsidRPr="00254149">
        <w:rPr>
          <w:sz w:val="24"/>
        </w:rPr>
        <w:t>J</w:t>
      </w:r>
      <w:r w:rsidR="0087065F" w:rsidRPr="00254149">
        <w:rPr>
          <w:sz w:val="24"/>
        </w:rPr>
        <w:t xml:space="preserve">ääb arusaamatuks, kuidas sai kohus samas jõuda tulemuseni, et tegemist oli rendilepinguga, mille olemuslikuks tingimuseks on asja tagastamine. </w:t>
      </w:r>
      <w:r w:rsidR="00463A4A" w:rsidRPr="00254149">
        <w:rPr>
          <w:sz w:val="24"/>
        </w:rPr>
        <w:t>K</w:t>
      </w:r>
      <w:r w:rsidR="0087065F" w:rsidRPr="00254149">
        <w:rPr>
          <w:sz w:val="24"/>
        </w:rPr>
        <w:t xml:space="preserve">ohus heidab kostjale ette seisukohtade muutmist, </w:t>
      </w:r>
      <w:r w:rsidR="0042783C">
        <w:rPr>
          <w:sz w:val="24"/>
        </w:rPr>
        <w:t xml:space="preserve">kuigi </w:t>
      </w:r>
      <w:r w:rsidR="0087065F" w:rsidRPr="00254149">
        <w:rPr>
          <w:sz w:val="24"/>
        </w:rPr>
        <w:t>kostja on kogu menetluse kestel olnud seisukohal, et tegemist on tervikliku kokkuleppega, mida ei saa käsitleda lae</w:t>
      </w:r>
      <w:r w:rsidR="00371538">
        <w:rPr>
          <w:sz w:val="24"/>
        </w:rPr>
        <w:t xml:space="preserve">nulepinguna või rendilepinguna, vaid </w:t>
      </w:r>
      <w:r w:rsidR="0087065F" w:rsidRPr="00254149">
        <w:rPr>
          <w:sz w:val="24"/>
        </w:rPr>
        <w:t>millel on nii kasutusrendi, kapitalirendi, liisingulepingu k</w:t>
      </w:r>
      <w:r w:rsidR="00710859">
        <w:rPr>
          <w:sz w:val="24"/>
        </w:rPr>
        <w:t>ui järelmaksuga müügi tunnuseid</w:t>
      </w:r>
      <w:r w:rsidR="00D94D0E">
        <w:rPr>
          <w:sz w:val="24"/>
        </w:rPr>
        <w:t>;</w:t>
      </w:r>
    </w:p>
    <w:p w:rsidR="009F47EC" w:rsidRDefault="00D94D0E" w:rsidP="00254149">
      <w:pPr>
        <w:spacing w:before="60" w:after="60"/>
        <w:jc w:val="both"/>
        <w:rPr>
          <w:sz w:val="24"/>
        </w:rPr>
      </w:pPr>
      <w:r>
        <w:rPr>
          <w:sz w:val="24"/>
        </w:rPr>
        <w:t>3) oleks h</w:t>
      </w:r>
      <w:r w:rsidR="00371538" w:rsidRPr="00254149">
        <w:rPr>
          <w:sz w:val="24"/>
        </w:rPr>
        <w:t xml:space="preserve">ageja märgitud hinnaga seadmete rentimine </w:t>
      </w:r>
      <w:r w:rsidR="0087065F" w:rsidRPr="00254149">
        <w:rPr>
          <w:sz w:val="24"/>
        </w:rPr>
        <w:t>kostjale äärmisel</w:t>
      </w:r>
      <w:r w:rsidR="00204D3D">
        <w:rPr>
          <w:sz w:val="24"/>
        </w:rPr>
        <w:t>t</w:t>
      </w:r>
      <w:r w:rsidR="0087065F" w:rsidRPr="00254149">
        <w:rPr>
          <w:sz w:val="24"/>
        </w:rPr>
        <w:t xml:space="preserve"> kahjulik, kuna sarnase metsatehnika rent ei ole levinud ja on seetõttu väga kallis. </w:t>
      </w:r>
      <w:r w:rsidR="00204D3D" w:rsidRPr="00254149">
        <w:rPr>
          <w:sz w:val="24"/>
        </w:rPr>
        <w:t>K</w:t>
      </w:r>
      <w:r w:rsidR="0087065F" w:rsidRPr="00254149">
        <w:rPr>
          <w:sz w:val="24"/>
        </w:rPr>
        <w:t>ohus kostja esitatud tõendiga ei arvestanud. Selle asemel lähtus kohus hageja paljasõnalisest väitest, et rent peab olema just nii madal nagu hageja soovib. Kui kohus leidis, et rendi summa on kokku leppimata, oleks pidanud kohus selle määrama</w:t>
      </w:r>
      <w:r w:rsidR="009020DD">
        <w:rPr>
          <w:sz w:val="24"/>
        </w:rPr>
        <w:t>,</w:t>
      </w:r>
      <w:r w:rsidR="0087065F" w:rsidRPr="00254149">
        <w:rPr>
          <w:sz w:val="24"/>
        </w:rPr>
        <w:t xml:space="preserve"> lähtudes l</w:t>
      </w:r>
      <w:r w:rsidR="00371538">
        <w:rPr>
          <w:sz w:val="24"/>
        </w:rPr>
        <w:t>epingu olemusest ja eesmärgist;</w:t>
      </w:r>
    </w:p>
    <w:p w:rsidR="005E1528" w:rsidRDefault="00D94D0E" w:rsidP="00254149">
      <w:pPr>
        <w:spacing w:before="60" w:after="60"/>
        <w:jc w:val="both"/>
        <w:rPr>
          <w:sz w:val="24"/>
        </w:rPr>
      </w:pPr>
      <w:r>
        <w:rPr>
          <w:sz w:val="24"/>
        </w:rPr>
        <w:t>4</w:t>
      </w:r>
      <w:r w:rsidR="00204D3D">
        <w:rPr>
          <w:sz w:val="24"/>
        </w:rPr>
        <w:t>)</w:t>
      </w:r>
      <w:r w:rsidR="0087065F" w:rsidRPr="00254149">
        <w:rPr>
          <w:sz w:val="24"/>
        </w:rPr>
        <w:t xml:space="preserve"> </w:t>
      </w:r>
      <w:r w:rsidR="00204D3D">
        <w:rPr>
          <w:sz w:val="24"/>
        </w:rPr>
        <w:t>on k</w:t>
      </w:r>
      <w:r w:rsidR="00C67E02">
        <w:rPr>
          <w:sz w:val="24"/>
        </w:rPr>
        <w:t>ohtu</w:t>
      </w:r>
      <w:r w:rsidR="0087065F" w:rsidRPr="00254149">
        <w:rPr>
          <w:sz w:val="24"/>
        </w:rPr>
        <w:t>otsus üllatuslik. 13</w:t>
      </w:r>
      <w:r w:rsidR="00C67E02">
        <w:rPr>
          <w:sz w:val="24"/>
        </w:rPr>
        <w:t>.04.</w:t>
      </w:r>
      <w:r w:rsidR="0087065F" w:rsidRPr="00254149">
        <w:rPr>
          <w:sz w:val="24"/>
        </w:rPr>
        <w:t>2018</w:t>
      </w:r>
      <w:r w:rsidR="00FC163F">
        <w:rPr>
          <w:sz w:val="24"/>
        </w:rPr>
        <w:t xml:space="preserve"> </w:t>
      </w:r>
      <w:r w:rsidR="00371538">
        <w:rPr>
          <w:sz w:val="24"/>
        </w:rPr>
        <w:t>kirjas</w:t>
      </w:r>
      <w:r w:rsidR="000E0FAC">
        <w:rPr>
          <w:sz w:val="24"/>
        </w:rPr>
        <w:t>t</w:t>
      </w:r>
      <w:r w:rsidR="00881D88">
        <w:rPr>
          <w:sz w:val="24"/>
        </w:rPr>
        <w:t xml:space="preserve"> </w:t>
      </w:r>
      <w:r w:rsidR="0087065F" w:rsidRPr="00254149">
        <w:rPr>
          <w:sz w:val="24"/>
        </w:rPr>
        <w:t xml:space="preserve">nähtus, et kohus käsitleb õigussuhet terviklikuna </w:t>
      </w:r>
      <w:r w:rsidR="00E0614C">
        <w:rPr>
          <w:sz w:val="24"/>
        </w:rPr>
        <w:t>ja</w:t>
      </w:r>
      <w:r w:rsidR="005F5F9B">
        <w:rPr>
          <w:sz w:val="24"/>
        </w:rPr>
        <w:t xml:space="preserve"> kavatseb arvestada </w:t>
      </w:r>
      <w:r w:rsidR="0087065F" w:rsidRPr="00254149">
        <w:rPr>
          <w:sz w:val="24"/>
        </w:rPr>
        <w:t>m</w:t>
      </w:r>
      <w:r w:rsidR="005F5F9B">
        <w:rPr>
          <w:sz w:val="24"/>
        </w:rPr>
        <w:t>õlema poole kinnitatud kokkulep</w:t>
      </w:r>
      <w:r w:rsidR="0087065F" w:rsidRPr="00254149">
        <w:rPr>
          <w:sz w:val="24"/>
        </w:rPr>
        <w:t>e</w:t>
      </w:r>
      <w:r w:rsidR="005F5F9B">
        <w:rPr>
          <w:sz w:val="24"/>
        </w:rPr>
        <w:t>t</w:t>
      </w:r>
      <w:r w:rsidR="0087065F" w:rsidRPr="00254149">
        <w:rPr>
          <w:sz w:val="24"/>
        </w:rPr>
        <w:t xml:space="preserve"> asjade omandiõiguse ülemineku kohta. Se</w:t>
      </w:r>
      <w:r w:rsidR="00D86056">
        <w:rPr>
          <w:sz w:val="24"/>
        </w:rPr>
        <w:t>ega</w:t>
      </w:r>
      <w:r w:rsidR="0087065F" w:rsidRPr="00254149">
        <w:rPr>
          <w:sz w:val="24"/>
        </w:rPr>
        <w:t xml:space="preserve"> tulnuks kohtul anda hinnang ka sellele, millise tasu eest pidid seadmed hageja omaks saama. </w:t>
      </w:r>
      <w:r w:rsidR="00C67E02" w:rsidRPr="00254149">
        <w:rPr>
          <w:sz w:val="24"/>
        </w:rPr>
        <w:t>K</w:t>
      </w:r>
      <w:r w:rsidR="0087065F" w:rsidRPr="00254149">
        <w:rPr>
          <w:sz w:val="24"/>
        </w:rPr>
        <w:t xml:space="preserve">ohus sellele tähelepanu </w:t>
      </w:r>
      <w:r w:rsidR="000D6864">
        <w:rPr>
          <w:sz w:val="24"/>
        </w:rPr>
        <w:t xml:space="preserve">ei </w:t>
      </w:r>
      <w:r w:rsidR="005E1528">
        <w:rPr>
          <w:sz w:val="24"/>
        </w:rPr>
        <w:t>pööranud.</w:t>
      </w:r>
      <w:r w:rsidR="0087065F" w:rsidRPr="00254149">
        <w:rPr>
          <w:sz w:val="24"/>
        </w:rPr>
        <w:t xml:space="preserve"> </w:t>
      </w:r>
      <w:r w:rsidR="00C67E02">
        <w:rPr>
          <w:sz w:val="24"/>
        </w:rPr>
        <w:t>K</w:t>
      </w:r>
      <w:r w:rsidR="0087065F" w:rsidRPr="00254149">
        <w:rPr>
          <w:sz w:val="24"/>
        </w:rPr>
        <w:t xml:space="preserve">ohus </w:t>
      </w:r>
      <w:r w:rsidR="0042783C">
        <w:rPr>
          <w:sz w:val="24"/>
        </w:rPr>
        <w:t>leidis</w:t>
      </w:r>
      <w:r w:rsidR="0087065F" w:rsidRPr="00254149">
        <w:rPr>
          <w:sz w:val="24"/>
        </w:rPr>
        <w:t>, et poolte vahel oli</w:t>
      </w:r>
      <w:r w:rsidR="0042783C">
        <w:rPr>
          <w:sz w:val="24"/>
        </w:rPr>
        <w:t>d</w:t>
      </w:r>
      <w:r w:rsidR="0087065F" w:rsidRPr="00254149">
        <w:rPr>
          <w:sz w:val="24"/>
        </w:rPr>
        <w:t xml:space="preserve"> laenuleping ja rendileping</w:t>
      </w:r>
      <w:r w:rsidR="0042783C">
        <w:rPr>
          <w:sz w:val="24"/>
        </w:rPr>
        <w:t>,</w:t>
      </w:r>
      <w:r w:rsidR="0087065F" w:rsidRPr="00254149">
        <w:rPr>
          <w:sz w:val="24"/>
        </w:rPr>
        <w:t xml:space="preserve"> </w:t>
      </w:r>
      <w:r w:rsidR="0042783C">
        <w:rPr>
          <w:sz w:val="24"/>
        </w:rPr>
        <w:t>asudes</w:t>
      </w:r>
      <w:r w:rsidR="0087065F" w:rsidRPr="00254149">
        <w:rPr>
          <w:sz w:val="24"/>
        </w:rPr>
        <w:t xml:space="preserve"> põhjendamatule seisukohale, et neist kahest leping</w:t>
      </w:r>
      <w:r w:rsidR="008C7008">
        <w:rPr>
          <w:sz w:val="24"/>
        </w:rPr>
        <w:t xml:space="preserve">ust </w:t>
      </w:r>
      <w:r w:rsidR="0042783C">
        <w:rPr>
          <w:sz w:val="24"/>
        </w:rPr>
        <w:t>tuleneb</w:t>
      </w:r>
      <w:r w:rsidR="008C7008">
        <w:rPr>
          <w:sz w:val="24"/>
        </w:rPr>
        <w:t xml:space="preserve"> </w:t>
      </w:r>
      <w:r w:rsidR="0087065F" w:rsidRPr="00254149">
        <w:rPr>
          <w:sz w:val="24"/>
        </w:rPr>
        <w:t xml:space="preserve">ka kohustus anda hagejale üle </w:t>
      </w:r>
      <w:r w:rsidR="0042783C">
        <w:rPr>
          <w:sz w:val="24"/>
        </w:rPr>
        <w:t xml:space="preserve">seadmete </w:t>
      </w:r>
      <w:r w:rsidR="0087065F" w:rsidRPr="00254149">
        <w:rPr>
          <w:sz w:val="24"/>
        </w:rPr>
        <w:t xml:space="preserve">omandiõigus. Ei laenuleping ega rendileping </w:t>
      </w:r>
      <w:r w:rsidR="00371538">
        <w:rPr>
          <w:sz w:val="24"/>
        </w:rPr>
        <w:t xml:space="preserve">ei </w:t>
      </w:r>
      <w:r w:rsidR="0087065F" w:rsidRPr="00254149">
        <w:rPr>
          <w:sz w:val="24"/>
        </w:rPr>
        <w:t>näe ette asja omandiõiguse üleandmise kohustust</w:t>
      </w:r>
      <w:r w:rsidR="009F47EC">
        <w:rPr>
          <w:sz w:val="24"/>
        </w:rPr>
        <w:t>.</w:t>
      </w:r>
      <w:r w:rsidR="002B747B">
        <w:rPr>
          <w:sz w:val="24"/>
        </w:rPr>
        <w:t xml:space="preserve"> </w:t>
      </w:r>
      <w:r w:rsidR="00204D3D" w:rsidRPr="00254149">
        <w:rPr>
          <w:sz w:val="24"/>
        </w:rPr>
        <w:t>K</w:t>
      </w:r>
      <w:r w:rsidR="0087065F" w:rsidRPr="00254149">
        <w:rPr>
          <w:sz w:val="24"/>
        </w:rPr>
        <w:t xml:space="preserve">ohus ei selgitanud, et kavatseb käsitleda õigussuhet vaid </w:t>
      </w:r>
      <w:r w:rsidR="005E1528">
        <w:rPr>
          <w:sz w:val="24"/>
        </w:rPr>
        <w:t>laenulepingu ja rendilepinguna;</w:t>
      </w:r>
    </w:p>
    <w:p w:rsidR="0087065F" w:rsidRPr="00254149" w:rsidRDefault="00D94D0E" w:rsidP="00254149">
      <w:pPr>
        <w:spacing w:before="60" w:after="60"/>
        <w:jc w:val="both"/>
        <w:rPr>
          <w:sz w:val="24"/>
        </w:rPr>
      </w:pPr>
      <w:r>
        <w:rPr>
          <w:sz w:val="24"/>
        </w:rPr>
        <w:t>5</w:t>
      </w:r>
      <w:r w:rsidR="00C67E02">
        <w:rPr>
          <w:sz w:val="24"/>
        </w:rPr>
        <w:t>) ei ole kohtu</w:t>
      </w:r>
      <w:r w:rsidR="00C67E02" w:rsidRPr="00254149">
        <w:rPr>
          <w:sz w:val="24"/>
        </w:rPr>
        <w:t xml:space="preserve">otsuses märgitud </w:t>
      </w:r>
      <w:r w:rsidR="00C67E02">
        <w:rPr>
          <w:sz w:val="24"/>
        </w:rPr>
        <w:t xml:space="preserve">vastavalt </w:t>
      </w:r>
      <w:r w:rsidR="007C74BD">
        <w:rPr>
          <w:sz w:val="24"/>
        </w:rPr>
        <w:t>tsiviilkohtumenetluse seadustiku (</w:t>
      </w:r>
      <w:proofErr w:type="spellStart"/>
      <w:r w:rsidR="00C67E02" w:rsidRPr="00254149">
        <w:rPr>
          <w:sz w:val="24"/>
        </w:rPr>
        <w:t>TsMS</w:t>
      </w:r>
      <w:proofErr w:type="spellEnd"/>
      <w:r w:rsidR="007C74BD">
        <w:rPr>
          <w:sz w:val="24"/>
        </w:rPr>
        <w:t>)</w:t>
      </w:r>
      <w:r w:rsidR="00061E8B">
        <w:rPr>
          <w:sz w:val="24"/>
        </w:rPr>
        <w:t xml:space="preserve"> </w:t>
      </w:r>
      <w:r w:rsidR="00C67E02">
        <w:rPr>
          <w:sz w:val="24"/>
        </w:rPr>
        <w:t>§ </w:t>
      </w:r>
      <w:r w:rsidR="00C67E02" w:rsidRPr="00254149">
        <w:rPr>
          <w:sz w:val="24"/>
        </w:rPr>
        <w:t>442</w:t>
      </w:r>
      <w:r w:rsidR="00C67E02">
        <w:rPr>
          <w:sz w:val="24"/>
        </w:rPr>
        <w:t xml:space="preserve"> lg </w:t>
      </w:r>
      <w:r w:rsidR="00C67E02" w:rsidRPr="00254149">
        <w:rPr>
          <w:sz w:val="24"/>
        </w:rPr>
        <w:t xml:space="preserve">2 </w:t>
      </w:r>
      <w:r w:rsidR="00C67E02">
        <w:rPr>
          <w:sz w:val="24"/>
        </w:rPr>
        <w:t>p-le </w:t>
      </w:r>
      <w:r w:rsidR="00C67E02" w:rsidRPr="00254149">
        <w:rPr>
          <w:sz w:val="24"/>
        </w:rPr>
        <w:t>5</w:t>
      </w:r>
      <w:r w:rsidR="00C67E02" w:rsidRPr="00C67E02">
        <w:rPr>
          <w:sz w:val="24"/>
          <w:vertAlign w:val="superscript"/>
        </w:rPr>
        <w:t>1</w:t>
      </w:r>
      <w:r w:rsidR="00C67E02">
        <w:rPr>
          <w:sz w:val="24"/>
          <w:vertAlign w:val="superscript"/>
        </w:rPr>
        <w:t xml:space="preserve"> </w:t>
      </w:r>
      <w:r w:rsidR="00C67E02" w:rsidRPr="00254149">
        <w:rPr>
          <w:sz w:val="24"/>
        </w:rPr>
        <w:t>tsiviilasja hinda</w:t>
      </w:r>
      <w:r w:rsidR="0087065F" w:rsidRPr="00254149">
        <w:rPr>
          <w:sz w:val="24"/>
        </w:rPr>
        <w:t>.</w:t>
      </w:r>
    </w:p>
    <w:p w:rsidR="0087065F" w:rsidRPr="00254149" w:rsidRDefault="0087065F" w:rsidP="00254149">
      <w:pPr>
        <w:spacing w:before="60" w:after="60"/>
        <w:jc w:val="both"/>
        <w:rPr>
          <w:sz w:val="24"/>
        </w:rPr>
      </w:pPr>
    </w:p>
    <w:p w:rsidR="00D03DC0" w:rsidRPr="00254149" w:rsidRDefault="00D03DC0" w:rsidP="00D03DC0">
      <w:pPr>
        <w:spacing w:before="60" w:after="60"/>
        <w:jc w:val="both"/>
        <w:rPr>
          <w:sz w:val="24"/>
        </w:rPr>
      </w:pPr>
      <w:r>
        <w:rPr>
          <w:b/>
          <w:sz w:val="24"/>
          <w:szCs w:val="24"/>
        </w:rPr>
        <w:t>5</w:t>
      </w:r>
      <w:r w:rsidRPr="00AE433F">
        <w:rPr>
          <w:b/>
          <w:sz w:val="24"/>
          <w:szCs w:val="24"/>
        </w:rPr>
        <w:t xml:space="preserve">. </w:t>
      </w:r>
      <w:r w:rsidRPr="00D03DC0">
        <w:rPr>
          <w:sz w:val="24"/>
          <w:szCs w:val="24"/>
        </w:rPr>
        <w:t>Osaühing</w:t>
      </w:r>
      <w:r>
        <w:rPr>
          <w:sz w:val="24"/>
          <w:szCs w:val="24"/>
        </w:rPr>
        <w:t xml:space="preserve"> </w:t>
      </w:r>
      <w:r w:rsidRPr="00254149">
        <w:rPr>
          <w:sz w:val="24"/>
        </w:rPr>
        <w:t xml:space="preserve">Pusku </w:t>
      </w:r>
      <w:proofErr w:type="spellStart"/>
      <w:r w:rsidRPr="00254149">
        <w:rPr>
          <w:sz w:val="24"/>
        </w:rPr>
        <w:t>Invest</w:t>
      </w:r>
      <w:proofErr w:type="spellEnd"/>
      <w:r w:rsidRPr="00254149">
        <w:rPr>
          <w:sz w:val="24"/>
        </w:rPr>
        <w:t xml:space="preserve"> </w:t>
      </w:r>
      <w:r w:rsidRPr="00AE433F">
        <w:rPr>
          <w:sz w:val="24"/>
          <w:szCs w:val="24"/>
        </w:rPr>
        <w:t>vaidleb apellatsioonkaebusele vastu ning taotleb</w:t>
      </w:r>
      <w:r>
        <w:rPr>
          <w:sz w:val="24"/>
          <w:szCs w:val="24"/>
        </w:rPr>
        <w:t xml:space="preserve"> selle </w:t>
      </w:r>
      <w:r w:rsidRPr="00254149">
        <w:rPr>
          <w:sz w:val="24"/>
        </w:rPr>
        <w:t>rahuldamata</w:t>
      </w:r>
      <w:r>
        <w:rPr>
          <w:sz w:val="24"/>
        </w:rPr>
        <w:t>,</w:t>
      </w:r>
      <w:r w:rsidRPr="00254149">
        <w:rPr>
          <w:sz w:val="24"/>
        </w:rPr>
        <w:t xml:space="preserve"> </w:t>
      </w:r>
      <w:r>
        <w:rPr>
          <w:sz w:val="24"/>
        </w:rPr>
        <w:t>m</w:t>
      </w:r>
      <w:r w:rsidRPr="00254149">
        <w:rPr>
          <w:sz w:val="24"/>
        </w:rPr>
        <w:t>aakohtu otsus</w:t>
      </w:r>
      <w:r>
        <w:rPr>
          <w:sz w:val="24"/>
        </w:rPr>
        <w:t>e</w:t>
      </w:r>
      <w:r w:rsidRPr="00254149">
        <w:rPr>
          <w:sz w:val="24"/>
        </w:rPr>
        <w:t xml:space="preserve"> </w:t>
      </w:r>
      <w:r>
        <w:rPr>
          <w:sz w:val="24"/>
        </w:rPr>
        <w:t xml:space="preserve">muutmata ja </w:t>
      </w:r>
      <w:r w:rsidRPr="00254149">
        <w:rPr>
          <w:sz w:val="24"/>
        </w:rPr>
        <w:t>menetluskulud</w:t>
      </w:r>
      <w:r>
        <w:rPr>
          <w:sz w:val="24"/>
        </w:rPr>
        <w:t>e</w:t>
      </w:r>
      <w:r w:rsidRPr="00254149">
        <w:rPr>
          <w:sz w:val="24"/>
        </w:rPr>
        <w:t xml:space="preserve"> </w:t>
      </w:r>
      <w:r>
        <w:rPr>
          <w:sz w:val="24"/>
        </w:rPr>
        <w:t xml:space="preserve">apellandi kanda </w:t>
      </w:r>
      <w:r w:rsidRPr="00254149">
        <w:rPr>
          <w:sz w:val="24"/>
        </w:rPr>
        <w:t>jät</w:t>
      </w:r>
      <w:r>
        <w:rPr>
          <w:sz w:val="24"/>
        </w:rPr>
        <w:t>mist</w:t>
      </w:r>
      <w:r w:rsidRPr="00254149">
        <w:rPr>
          <w:sz w:val="24"/>
        </w:rPr>
        <w:t>.</w:t>
      </w:r>
    </w:p>
    <w:p w:rsidR="00D03DC0" w:rsidRPr="00AE433F" w:rsidRDefault="00D03DC0" w:rsidP="00D03DC0">
      <w:pPr>
        <w:spacing w:before="60" w:after="60"/>
        <w:jc w:val="both"/>
        <w:rPr>
          <w:sz w:val="24"/>
          <w:szCs w:val="24"/>
        </w:rPr>
      </w:pPr>
      <w:r>
        <w:rPr>
          <w:sz w:val="24"/>
          <w:szCs w:val="24"/>
        </w:rPr>
        <w:t>Vastuväidete kohaselt:</w:t>
      </w:r>
    </w:p>
    <w:p w:rsidR="00371538" w:rsidRDefault="00D03DC0" w:rsidP="00254149">
      <w:pPr>
        <w:spacing w:before="60" w:after="60"/>
        <w:jc w:val="both"/>
        <w:rPr>
          <w:sz w:val="24"/>
        </w:rPr>
      </w:pPr>
      <w:r w:rsidRPr="00AE433F">
        <w:rPr>
          <w:sz w:val="24"/>
          <w:szCs w:val="24"/>
        </w:rPr>
        <w:t>1)</w:t>
      </w:r>
      <w:r w:rsidR="00C67E02">
        <w:rPr>
          <w:sz w:val="24"/>
        </w:rPr>
        <w:t xml:space="preserve"> </w:t>
      </w:r>
      <w:r w:rsidR="0087065F" w:rsidRPr="00254149">
        <w:rPr>
          <w:sz w:val="24"/>
        </w:rPr>
        <w:t xml:space="preserve">on kohus selgitanud </w:t>
      </w:r>
      <w:r w:rsidR="00204D3D" w:rsidRPr="00254149">
        <w:rPr>
          <w:sz w:val="24"/>
        </w:rPr>
        <w:t xml:space="preserve">välja </w:t>
      </w:r>
      <w:r w:rsidR="00204D3D">
        <w:rPr>
          <w:sz w:val="24"/>
        </w:rPr>
        <w:t>poolte tegelik</w:t>
      </w:r>
      <w:r w:rsidR="00EF04C5">
        <w:rPr>
          <w:sz w:val="24"/>
        </w:rPr>
        <w:t>u tah</w:t>
      </w:r>
      <w:r w:rsidR="00204D3D">
        <w:rPr>
          <w:sz w:val="24"/>
        </w:rPr>
        <w:t>t</w:t>
      </w:r>
      <w:r w:rsidR="00EF04C5">
        <w:rPr>
          <w:sz w:val="24"/>
        </w:rPr>
        <w:t>e</w:t>
      </w:r>
      <w:r w:rsidR="00204D3D">
        <w:rPr>
          <w:sz w:val="24"/>
        </w:rPr>
        <w:t xml:space="preserve"> </w:t>
      </w:r>
      <w:r w:rsidR="008205DA">
        <w:rPr>
          <w:sz w:val="24"/>
        </w:rPr>
        <w:t xml:space="preserve">algsete </w:t>
      </w:r>
      <w:r w:rsidR="00204D3D">
        <w:rPr>
          <w:sz w:val="24"/>
        </w:rPr>
        <w:t>lepingute sõlmimisel</w:t>
      </w:r>
      <w:r w:rsidR="0087065F" w:rsidRPr="00254149">
        <w:rPr>
          <w:sz w:val="24"/>
        </w:rPr>
        <w:t xml:space="preserve">. </w:t>
      </w:r>
      <w:r w:rsidR="00EF04C5">
        <w:rPr>
          <w:sz w:val="24"/>
        </w:rPr>
        <w:t>K</w:t>
      </w:r>
      <w:r w:rsidR="00371538">
        <w:rPr>
          <w:sz w:val="24"/>
        </w:rPr>
        <w:t>ohus leidis</w:t>
      </w:r>
      <w:r w:rsidR="0087065F" w:rsidRPr="00371538">
        <w:rPr>
          <w:sz w:val="24"/>
        </w:rPr>
        <w:t xml:space="preserve"> laenu- ja rendilepinguid koosmõjus hinnates, et nende sõlmimise eesmärk oli võ</w:t>
      </w:r>
      <w:r w:rsidR="00A013A8">
        <w:rPr>
          <w:sz w:val="24"/>
        </w:rPr>
        <w:t>imaldada hagejal soetada seadmed</w:t>
      </w:r>
      <w:r w:rsidR="0087065F" w:rsidRPr="00371538">
        <w:rPr>
          <w:sz w:val="24"/>
        </w:rPr>
        <w:t xml:space="preserve"> </w:t>
      </w:r>
      <w:r w:rsidR="00371538">
        <w:rPr>
          <w:sz w:val="24"/>
        </w:rPr>
        <w:t>poole hinnaga;</w:t>
      </w:r>
    </w:p>
    <w:p w:rsidR="0087065F" w:rsidRPr="00254149" w:rsidRDefault="00C67E02" w:rsidP="00254149">
      <w:pPr>
        <w:spacing w:before="60" w:after="60"/>
        <w:jc w:val="both"/>
        <w:rPr>
          <w:sz w:val="24"/>
        </w:rPr>
      </w:pPr>
      <w:r>
        <w:rPr>
          <w:sz w:val="24"/>
        </w:rPr>
        <w:t xml:space="preserve">2) </w:t>
      </w:r>
      <w:r w:rsidR="00371538">
        <w:rPr>
          <w:sz w:val="24"/>
        </w:rPr>
        <w:t xml:space="preserve">on kostja </w:t>
      </w:r>
      <w:r w:rsidR="0087065F" w:rsidRPr="00254149">
        <w:rPr>
          <w:sz w:val="24"/>
        </w:rPr>
        <w:t xml:space="preserve">arutlused lepingu olemuse üle asjakohatud, sest </w:t>
      </w:r>
      <w:r w:rsidR="00204D3D">
        <w:rPr>
          <w:sz w:val="24"/>
        </w:rPr>
        <w:t xml:space="preserve">kostja </w:t>
      </w:r>
      <w:r w:rsidR="0087065F" w:rsidRPr="00254149">
        <w:rPr>
          <w:sz w:val="24"/>
        </w:rPr>
        <w:t xml:space="preserve">ei </w:t>
      </w:r>
      <w:r w:rsidR="00204D3D">
        <w:rPr>
          <w:sz w:val="24"/>
        </w:rPr>
        <w:t>ole tõendanud, et poolte</w:t>
      </w:r>
      <w:r w:rsidR="0087065F" w:rsidRPr="00254149">
        <w:rPr>
          <w:sz w:val="24"/>
        </w:rPr>
        <w:t xml:space="preserve"> kokkuleppe tingimuseks oli </w:t>
      </w:r>
      <w:r w:rsidR="0042783C">
        <w:rPr>
          <w:sz w:val="24"/>
        </w:rPr>
        <w:t xml:space="preserve">seadmete </w:t>
      </w:r>
      <w:r w:rsidR="0087065F" w:rsidRPr="00254149">
        <w:rPr>
          <w:sz w:val="24"/>
        </w:rPr>
        <w:t xml:space="preserve">ost sama hinnaga, millega kostja seadmed soetas. Samuti ei </w:t>
      </w:r>
      <w:r w:rsidR="00371538">
        <w:rPr>
          <w:sz w:val="24"/>
        </w:rPr>
        <w:t xml:space="preserve">ole </w:t>
      </w:r>
      <w:r w:rsidR="0087065F" w:rsidRPr="00254149">
        <w:rPr>
          <w:sz w:val="24"/>
        </w:rPr>
        <w:t>kostja</w:t>
      </w:r>
      <w:r w:rsidR="00371538" w:rsidRPr="00371538">
        <w:rPr>
          <w:sz w:val="24"/>
        </w:rPr>
        <w:t xml:space="preserve"> </w:t>
      </w:r>
      <w:r w:rsidR="00371538" w:rsidRPr="00254149">
        <w:rPr>
          <w:sz w:val="24"/>
        </w:rPr>
        <w:t>tõendanud</w:t>
      </w:r>
      <w:r w:rsidR="0087065F" w:rsidRPr="00254149">
        <w:rPr>
          <w:sz w:val="24"/>
        </w:rPr>
        <w:t xml:space="preserve">, et </w:t>
      </w:r>
      <w:r w:rsidR="00371538">
        <w:rPr>
          <w:sz w:val="24"/>
        </w:rPr>
        <w:t xml:space="preserve">kostja oli </w:t>
      </w:r>
      <w:r w:rsidR="0087065F" w:rsidRPr="00254149">
        <w:rPr>
          <w:sz w:val="24"/>
        </w:rPr>
        <w:t>poolte kokkulep</w:t>
      </w:r>
      <w:r w:rsidR="00F33A6A">
        <w:rPr>
          <w:sz w:val="24"/>
        </w:rPr>
        <w:t>p</w:t>
      </w:r>
      <w:r w:rsidR="0087065F" w:rsidRPr="00254149">
        <w:rPr>
          <w:sz w:val="24"/>
        </w:rPr>
        <w:t xml:space="preserve">e </w:t>
      </w:r>
      <w:r w:rsidR="00FA42FC">
        <w:rPr>
          <w:sz w:val="24"/>
        </w:rPr>
        <w:t xml:space="preserve">järgi </w:t>
      </w:r>
      <w:r w:rsidR="0087065F" w:rsidRPr="00254149">
        <w:rPr>
          <w:sz w:val="24"/>
        </w:rPr>
        <w:t xml:space="preserve">õigustatud </w:t>
      </w:r>
      <w:r w:rsidR="00B55E43">
        <w:rPr>
          <w:sz w:val="24"/>
        </w:rPr>
        <w:t xml:space="preserve">PRIA toetuse </w:t>
      </w:r>
      <w:r w:rsidR="0087065F" w:rsidRPr="00254149">
        <w:rPr>
          <w:sz w:val="24"/>
        </w:rPr>
        <w:lastRenderedPageBreak/>
        <w:t xml:space="preserve">endale jätma. </w:t>
      </w:r>
      <w:r w:rsidR="00A11670" w:rsidRPr="00254149">
        <w:rPr>
          <w:sz w:val="24"/>
        </w:rPr>
        <w:t>S</w:t>
      </w:r>
      <w:r w:rsidR="0087065F" w:rsidRPr="00254149">
        <w:rPr>
          <w:sz w:val="24"/>
        </w:rPr>
        <w:t>e</w:t>
      </w:r>
      <w:r w:rsidR="00FA42FC">
        <w:rPr>
          <w:sz w:val="24"/>
        </w:rPr>
        <w:t xml:space="preserve">llised </w:t>
      </w:r>
      <w:r w:rsidR="0087065F" w:rsidRPr="00254149">
        <w:rPr>
          <w:sz w:val="24"/>
        </w:rPr>
        <w:t xml:space="preserve">väited </w:t>
      </w:r>
      <w:r w:rsidR="00A11670">
        <w:rPr>
          <w:sz w:val="24"/>
        </w:rPr>
        <w:t xml:space="preserve">on </w:t>
      </w:r>
      <w:r w:rsidR="0087065F" w:rsidRPr="00254149">
        <w:rPr>
          <w:sz w:val="24"/>
        </w:rPr>
        <w:t xml:space="preserve">vastuolus </w:t>
      </w:r>
      <w:r w:rsidR="00FA42FC">
        <w:rPr>
          <w:sz w:val="24"/>
        </w:rPr>
        <w:t>tõenditega.</w:t>
      </w:r>
      <w:r w:rsidR="0087065F" w:rsidRPr="00254149">
        <w:rPr>
          <w:sz w:val="24"/>
        </w:rPr>
        <w:t xml:space="preserve"> </w:t>
      </w:r>
      <w:r w:rsidR="00FA42FC" w:rsidRPr="00254149">
        <w:rPr>
          <w:sz w:val="24"/>
        </w:rPr>
        <w:t>L</w:t>
      </w:r>
      <w:r w:rsidR="00FA42FC">
        <w:rPr>
          <w:sz w:val="24"/>
        </w:rPr>
        <w:t>aenulepingutest</w:t>
      </w:r>
      <w:r w:rsidR="0087065F" w:rsidRPr="00254149">
        <w:rPr>
          <w:sz w:val="24"/>
        </w:rPr>
        <w:t xml:space="preserve"> tuleneb, et laenu tagasimaksmise kohustus puudus kostjal vaid siis, k</w:t>
      </w:r>
      <w:r w:rsidR="00371538">
        <w:rPr>
          <w:sz w:val="24"/>
        </w:rPr>
        <w:t>ui PRIA toetust ei maksa;</w:t>
      </w:r>
    </w:p>
    <w:p w:rsidR="00B47B72" w:rsidRDefault="00C67E02" w:rsidP="00254149">
      <w:pPr>
        <w:spacing w:before="60" w:after="60"/>
        <w:jc w:val="both"/>
        <w:rPr>
          <w:sz w:val="24"/>
        </w:rPr>
      </w:pPr>
      <w:r>
        <w:rPr>
          <w:sz w:val="24"/>
        </w:rPr>
        <w:t xml:space="preserve">3) </w:t>
      </w:r>
      <w:r w:rsidR="00A11670">
        <w:rPr>
          <w:sz w:val="24"/>
        </w:rPr>
        <w:t>ei ole kohtuotsus üllatuslik.</w:t>
      </w:r>
      <w:r w:rsidR="0087065F" w:rsidRPr="00254149">
        <w:rPr>
          <w:sz w:val="24"/>
        </w:rPr>
        <w:t xml:space="preserve"> </w:t>
      </w:r>
      <w:r w:rsidR="00A11670" w:rsidRPr="00254149">
        <w:rPr>
          <w:sz w:val="24"/>
        </w:rPr>
        <w:t>K</w:t>
      </w:r>
      <w:r w:rsidR="0087065F" w:rsidRPr="00254149">
        <w:rPr>
          <w:sz w:val="24"/>
        </w:rPr>
        <w:t xml:space="preserve">ohus on andnud pooltele selgitusi nii tõendamiskoormise kohta kui ka arutanud õigussuhte kvalifitseerimise küsimusi. </w:t>
      </w:r>
      <w:r w:rsidR="00371538" w:rsidRPr="00254149">
        <w:rPr>
          <w:sz w:val="24"/>
        </w:rPr>
        <w:t>Kohtuotsus</w:t>
      </w:r>
      <w:r w:rsidR="00371538" w:rsidRPr="00371538">
        <w:rPr>
          <w:sz w:val="24"/>
        </w:rPr>
        <w:t xml:space="preserve"> </w:t>
      </w:r>
      <w:r w:rsidR="0087065F" w:rsidRPr="00254149">
        <w:rPr>
          <w:sz w:val="24"/>
        </w:rPr>
        <w:t xml:space="preserve">käsitleb õigussuhet </w:t>
      </w:r>
      <w:r w:rsidR="00371538" w:rsidRPr="00254149">
        <w:rPr>
          <w:sz w:val="24"/>
        </w:rPr>
        <w:t>terviklikuna</w:t>
      </w:r>
      <w:r w:rsidR="009F47EC">
        <w:rPr>
          <w:sz w:val="24"/>
        </w:rPr>
        <w:t>.</w:t>
      </w:r>
      <w:r w:rsidR="00371538">
        <w:rPr>
          <w:sz w:val="24"/>
        </w:rPr>
        <w:t xml:space="preserve"> </w:t>
      </w:r>
      <w:r w:rsidR="00371538" w:rsidRPr="00254149">
        <w:rPr>
          <w:sz w:val="24"/>
        </w:rPr>
        <w:t>K</w:t>
      </w:r>
      <w:r w:rsidR="0087065F" w:rsidRPr="00254149">
        <w:rPr>
          <w:sz w:val="24"/>
        </w:rPr>
        <w:t xml:space="preserve">ohus </w:t>
      </w:r>
      <w:r w:rsidR="00371538">
        <w:rPr>
          <w:sz w:val="24"/>
        </w:rPr>
        <w:t xml:space="preserve">on </w:t>
      </w:r>
      <w:r w:rsidR="0087065F" w:rsidRPr="00254149">
        <w:rPr>
          <w:sz w:val="24"/>
        </w:rPr>
        <w:t>hinnanud</w:t>
      </w:r>
      <w:r w:rsidR="00371538">
        <w:rPr>
          <w:sz w:val="24"/>
        </w:rPr>
        <w:t xml:space="preserve"> küsimust</w:t>
      </w:r>
      <w:r w:rsidR="0087065F" w:rsidRPr="00254149">
        <w:rPr>
          <w:sz w:val="24"/>
        </w:rPr>
        <w:t>, missuguse tasu eest pi</w:t>
      </w:r>
      <w:r w:rsidR="00371538">
        <w:rPr>
          <w:sz w:val="24"/>
        </w:rPr>
        <w:t xml:space="preserve">did seadmed hageja omaks saama, </w:t>
      </w:r>
      <w:r w:rsidR="0087065F" w:rsidRPr="00254149">
        <w:rPr>
          <w:sz w:val="24"/>
        </w:rPr>
        <w:t>jõud</w:t>
      </w:r>
      <w:r w:rsidR="00371538">
        <w:rPr>
          <w:sz w:val="24"/>
        </w:rPr>
        <w:t>es</w:t>
      </w:r>
      <w:r w:rsidR="0087065F" w:rsidRPr="00254149">
        <w:rPr>
          <w:sz w:val="24"/>
        </w:rPr>
        <w:t xml:space="preserve"> järeldusele, et hageja </w:t>
      </w:r>
      <w:r w:rsidR="00EE7562" w:rsidRPr="00254149">
        <w:rPr>
          <w:sz w:val="24"/>
        </w:rPr>
        <w:t xml:space="preserve">pidi </w:t>
      </w:r>
      <w:r w:rsidR="0087065F" w:rsidRPr="00254149">
        <w:rPr>
          <w:sz w:val="24"/>
        </w:rPr>
        <w:t>saama seadmed soetada poole hinnaga</w:t>
      </w:r>
      <w:r w:rsidR="00A11670">
        <w:rPr>
          <w:sz w:val="24"/>
        </w:rPr>
        <w:t>.</w:t>
      </w:r>
    </w:p>
    <w:p w:rsidR="00F26008" w:rsidRDefault="00F26008" w:rsidP="00254149">
      <w:pPr>
        <w:spacing w:before="60" w:after="60"/>
        <w:jc w:val="both"/>
        <w:rPr>
          <w:sz w:val="24"/>
        </w:rPr>
      </w:pPr>
    </w:p>
    <w:p w:rsidR="00D03DC0" w:rsidRPr="00AE433F" w:rsidRDefault="00D03DC0" w:rsidP="00D03DC0">
      <w:pPr>
        <w:spacing w:before="60" w:after="60"/>
        <w:jc w:val="both"/>
        <w:rPr>
          <w:b/>
          <w:sz w:val="24"/>
          <w:szCs w:val="24"/>
        </w:rPr>
      </w:pPr>
      <w:r w:rsidRPr="00AE433F">
        <w:rPr>
          <w:b/>
          <w:sz w:val="24"/>
          <w:szCs w:val="24"/>
        </w:rPr>
        <w:t>RINGKONNAKOHTU PÕHJENDUSED</w:t>
      </w:r>
    </w:p>
    <w:p w:rsidR="00D03DC0" w:rsidRDefault="00FC5411" w:rsidP="00D03DC0">
      <w:pPr>
        <w:spacing w:before="60" w:after="60"/>
        <w:jc w:val="both"/>
        <w:rPr>
          <w:sz w:val="24"/>
          <w:szCs w:val="24"/>
        </w:rPr>
      </w:pPr>
      <w:r w:rsidRPr="00FC5411">
        <w:rPr>
          <w:b/>
          <w:sz w:val="24"/>
          <w:szCs w:val="24"/>
        </w:rPr>
        <w:t>6.</w:t>
      </w:r>
      <w:r>
        <w:rPr>
          <w:b/>
          <w:sz w:val="24"/>
          <w:szCs w:val="24"/>
        </w:rPr>
        <w:t xml:space="preserve"> </w:t>
      </w:r>
      <w:r>
        <w:rPr>
          <w:sz w:val="24"/>
          <w:szCs w:val="24"/>
        </w:rPr>
        <w:t>Ringkonnakohus leiab, et apellatsioonkaebus tuleb jätta rahuldamata ja Tartu Maakohtu       24. jaanuari 2019 otsus muutmata.</w:t>
      </w:r>
      <w:r>
        <w:rPr>
          <w:b/>
          <w:sz w:val="24"/>
          <w:szCs w:val="24"/>
        </w:rPr>
        <w:t xml:space="preserve"> </w:t>
      </w:r>
      <w:r w:rsidR="00CD0234">
        <w:rPr>
          <w:sz w:val="24"/>
          <w:szCs w:val="24"/>
        </w:rPr>
        <w:t xml:space="preserve">Ringkonnakohus nõustub maakohtu põhjendustega ning </w:t>
      </w:r>
      <w:proofErr w:type="spellStart"/>
      <w:r w:rsidR="00CD0234">
        <w:rPr>
          <w:sz w:val="24"/>
          <w:szCs w:val="24"/>
        </w:rPr>
        <w:t>TsMS</w:t>
      </w:r>
      <w:proofErr w:type="spellEnd"/>
      <w:r w:rsidR="00CD0234">
        <w:rPr>
          <w:sz w:val="24"/>
          <w:szCs w:val="24"/>
        </w:rPr>
        <w:t xml:space="preserve"> § 654 lg 6 alusel ei pea vajalikuks neid kõiki käesolevas otsuses korrata.</w:t>
      </w:r>
    </w:p>
    <w:p w:rsidR="00CD0234" w:rsidRDefault="00CD0234" w:rsidP="00D03DC0">
      <w:pPr>
        <w:spacing w:before="60" w:after="60"/>
        <w:jc w:val="both"/>
        <w:rPr>
          <w:sz w:val="24"/>
          <w:szCs w:val="24"/>
        </w:rPr>
      </w:pPr>
      <w:r w:rsidRPr="00CD0234">
        <w:rPr>
          <w:b/>
          <w:sz w:val="24"/>
          <w:szCs w:val="24"/>
        </w:rPr>
        <w:t>7.</w:t>
      </w:r>
      <w:r>
        <w:rPr>
          <w:b/>
          <w:sz w:val="24"/>
          <w:szCs w:val="24"/>
        </w:rPr>
        <w:t xml:space="preserve"> </w:t>
      </w:r>
      <w:r w:rsidR="000E5C17">
        <w:rPr>
          <w:sz w:val="24"/>
          <w:szCs w:val="24"/>
        </w:rPr>
        <w:t>Vastuseks apellatsioonkaebuses esitatud põhjendustele märgib ringkonnakohus, et ükski nendest ei anna alust maakohtu otsuse tühistamiseks. Maakohus on andnud hinnangu kõikidele esitatud tõenditele ning põhjendatult rahuldanud hageja laenulepingutel põhineva nõude.</w:t>
      </w:r>
    </w:p>
    <w:p w:rsidR="000E5C17" w:rsidRDefault="000E5C17" w:rsidP="00D03DC0">
      <w:pPr>
        <w:spacing w:before="60" w:after="60"/>
        <w:jc w:val="both"/>
        <w:rPr>
          <w:sz w:val="24"/>
          <w:szCs w:val="24"/>
        </w:rPr>
      </w:pPr>
      <w:r w:rsidRPr="000E5C17">
        <w:rPr>
          <w:b/>
          <w:sz w:val="24"/>
          <w:szCs w:val="24"/>
        </w:rPr>
        <w:t>7.1.</w:t>
      </w:r>
      <w:r>
        <w:rPr>
          <w:b/>
          <w:sz w:val="24"/>
          <w:szCs w:val="24"/>
        </w:rPr>
        <w:t xml:space="preserve"> </w:t>
      </w:r>
      <w:r w:rsidR="00C75DC3">
        <w:rPr>
          <w:sz w:val="24"/>
          <w:szCs w:val="24"/>
        </w:rPr>
        <w:t xml:space="preserve">Maakohus on poolte tegeliku tahte väljaselgitamisel arvestanud kõiki esitatud tõendeid ja seisukohti ning jõudnud õigele järeldusele, et laenulepingute </w:t>
      </w:r>
      <w:r w:rsidR="0053549F">
        <w:rPr>
          <w:sz w:val="24"/>
          <w:szCs w:val="24"/>
        </w:rPr>
        <w:t xml:space="preserve">sõlmimise </w:t>
      </w:r>
      <w:r w:rsidR="00757256">
        <w:rPr>
          <w:sz w:val="24"/>
          <w:szCs w:val="24"/>
        </w:rPr>
        <w:t>lõpp</w:t>
      </w:r>
      <w:r w:rsidR="00C75DC3">
        <w:rPr>
          <w:sz w:val="24"/>
          <w:szCs w:val="24"/>
        </w:rPr>
        <w:t xml:space="preserve">eesmärgiks oli </w:t>
      </w:r>
      <w:r w:rsidR="00456ECC">
        <w:rPr>
          <w:sz w:val="24"/>
          <w:szCs w:val="24"/>
        </w:rPr>
        <w:t>hageja poolt metsatõstuki ja metsaveohaagise soodushinnaga omandamine.</w:t>
      </w:r>
    </w:p>
    <w:p w:rsidR="00155043" w:rsidRDefault="00456ECC" w:rsidP="00D03DC0">
      <w:pPr>
        <w:spacing w:before="60" w:after="60"/>
        <w:jc w:val="both"/>
        <w:rPr>
          <w:sz w:val="24"/>
          <w:szCs w:val="24"/>
        </w:rPr>
      </w:pPr>
      <w:r>
        <w:rPr>
          <w:sz w:val="24"/>
          <w:szCs w:val="24"/>
        </w:rPr>
        <w:t xml:space="preserve">Kostja ei ole laenulepingute kehtivust vaidlustanud ning laenulepingute p 3.1 kohaselt kohustus kostja hagejale laenu tagastama pärast PRIA-st toetuse laekumist. Puudub vaidlus, et toetus on kostjale välja makstud </w:t>
      </w:r>
      <w:r w:rsidR="00155043">
        <w:rPr>
          <w:sz w:val="24"/>
          <w:szCs w:val="24"/>
        </w:rPr>
        <w:t>13.08.2014 ning seetõttu puudus kostjal alus laenusummat mitte tagastada. Maakohus on õigesti märkinud, et laenulepingute p 3.3 kohalduks üksnes siis, kui kostjale ei oleks toetust makstud.</w:t>
      </w:r>
    </w:p>
    <w:p w:rsidR="0053549F" w:rsidRDefault="001E612C" w:rsidP="0053549F">
      <w:pPr>
        <w:spacing w:before="60" w:after="60"/>
        <w:jc w:val="both"/>
        <w:rPr>
          <w:sz w:val="24"/>
          <w:szCs w:val="24"/>
        </w:rPr>
      </w:pPr>
      <w:r>
        <w:rPr>
          <w:sz w:val="24"/>
          <w:szCs w:val="24"/>
        </w:rPr>
        <w:t>Poolte tegelikku tahet võimaldada hagejal omandada soodustingimustel metsatõstuk ja metsaveohaagis tõendab muu hulgas maksekorraldus nr 457 (tl 38), mille kohaselt hageja kandis 27.03.2014 kostja arvele 9225 eurot (s.o metsatõstuki ja metsaveohaagise täishinna) ning märkis maksekorralduse selgitusse rendiarvete ja laenulepingute numbrid. Asjaolu, et laenulepingud allkirjastati hiljem (</w:t>
      </w:r>
      <w:r w:rsidR="0053549F">
        <w:rPr>
          <w:sz w:val="24"/>
          <w:szCs w:val="24"/>
        </w:rPr>
        <w:t xml:space="preserve">tl 12-15), ei muuda laenulepingute sõlmimise eesmärki. Oluline on siinjuures rõhutada, et kostja ei ole vaidlustanud hageja väidet, et seesugune „skeem“ metsatehnika võõrandamisel oli kostja praktikas tavaline. </w:t>
      </w:r>
    </w:p>
    <w:p w:rsidR="0053549F" w:rsidRDefault="0053549F" w:rsidP="0053549F">
      <w:pPr>
        <w:spacing w:before="60" w:after="60"/>
        <w:jc w:val="both"/>
        <w:rPr>
          <w:sz w:val="24"/>
          <w:szCs w:val="24"/>
        </w:rPr>
      </w:pPr>
      <w:r w:rsidRPr="0053549F">
        <w:rPr>
          <w:b/>
          <w:sz w:val="24"/>
          <w:szCs w:val="24"/>
        </w:rPr>
        <w:t>7.2.</w:t>
      </w:r>
      <w:r>
        <w:rPr>
          <w:b/>
          <w:sz w:val="24"/>
          <w:szCs w:val="24"/>
        </w:rPr>
        <w:t xml:space="preserve"> </w:t>
      </w:r>
      <w:r>
        <w:rPr>
          <w:sz w:val="24"/>
          <w:szCs w:val="24"/>
        </w:rPr>
        <w:t>Iseenesest õige on kostja tähelepanek apellatsioonkaebuses, et maakohus ei ole märkinud otsuse sissejuhatusse tsiviilasja hinda (</w:t>
      </w:r>
      <w:proofErr w:type="spellStart"/>
      <w:r>
        <w:rPr>
          <w:sz w:val="24"/>
          <w:szCs w:val="24"/>
        </w:rPr>
        <w:t>TsMS</w:t>
      </w:r>
      <w:proofErr w:type="spellEnd"/>
      <w:r>
        <w:rPr>
          <w:sz w:val="24"/>
          <w:szCs w:val="24"/>
        </w:rPr>
        <w:t xml:space="preserve"> § 442 lg 2 p 5</w:t>
      </w:r>
      <w:r>
        <w:rPr>
          <w:sz w:val="24"/>
          <w:szCs w:val="24"/>
          <w:vertAlign w:val="superscript"/>
        </w:rPr>
        <w:t>1</w:t>
      </w:r>
      <w:r>
        <w:rPr>
          <w:sz w:val="24"/>
          <w:szCs w:val="24"/>
        </w:rPr>
        <w:t>), kuid nimetatud minetus ei anna alust kohtuotsuse tühistamiseks.</w:t>
      </w:r>
      <w:r w:rsidR="00744DD7">
        <w:rPr>
          <w:sz w:val="24"/>
          <w:szCs w:val="24"/>
        </w:rPr>
        <w:t xml:space="preserve"> Praegusel juhul on tsiviilasja hind nähtav</w:t>
      </w:r>
      <w:r w:rsidR="00075CE6">
        <w:rPr>
          <w:sz w:val="24"/>
          <w:szCs w:val="24"/>
        </w:rPr>
        <w:t xml:space="preserve"> ringkonnakohtu otsuse</w:t>
      </w:r>
      <w:r w:rsidR="005D4D9C">
        <w:rPr>
          <w:sz w:val="24"/>
          <w:szCs w:val="24"/>
        </w:rPr>
        <w:t xml:space="preserve"> </w:t>
      </w:r>
      <w:r w:rsidR="00075CE6">
        <w:rPr>
          <w:sz w:val="24"/>
          <w:szCs w:val="24"/>
        </w:rPr>
        <w:t>sissejuhatusest.</w:t>
      </w:r>
    </w:p>
    <w:p w:rsidR="0053549F" w:rsidRDefault="0053549F" w:rsidP="0053549F">
      <w:pPr>
        <w:spacing w:before="60" w:after="60"/>
        <w:jc w:val="both"/>
        <w:rPr>
          <w:sz w:val="24"/>
          <w:szCs w:val="24"/>
        </w:rPr>
      </w:pPr>
      <w:r w:rsidRPr="00744DD7">
        <w:rPr>
          <w:b/>
          <w:sz w:val="24"/>
          <w:szCs w:val="24"/>
        </w:rPr>
        <w:t>8.</w:t>
      </w:r>
      <w:r w:rsidR="00744DD7">
        <w:rPr>
          <w:b/>
          <w:sz w:val="24"/>
          <w:szCs w:val="24"/>
        </w:rPr>
        <w:t xml:space="preserve"> </w:t>
      </w:r>
      <w:r w:rsidR="00075CE6">
        <w:rPr>
          <w:sz w:val="24"/>
          <w:szCs w:val="24"/>
        </w:rPr>
        <w:t xml:space="preserve">Seoses apellatsioonkaebuse rahuldamata jätmisega jäävad menetluskulud ringkonnakohtus </w:t>
      </w:r>
      <w:proofErr w:type="spellStart"/>
      <w:r w:rsidR="00075CE6">
        <w:rPr>
          <w:sz w:val="24"/>
          <w:szCs w:val="24"/>
        </w:rPr>
        <w:t>TsMS</w:t>
      </w:r>
      <w:proofErr w:type="spellEnd"/>
      <w:r w:rsidR="00075CE6">
        <w:rPr>
          <w:sz w:val="24"/>
          <w:szCs w:val="24"/>
        </w:rPr>
        <w:t xml:space="preserve"> § 171 lg 1 alusel kostja kanda.</w:t>
      </w:r>
    </w:p>
    <w:p w:rsidR="001E65B9" w:rsidRDefault="001E65B9" w:rsidP="0053549F">
      <w:pPr>
        <w:spacing w:before="60" w:after="60"/>
        <w:jc w:val="both"/>
        <w:rPr>
          <w:sz w:val="24"/>
          <w:szCs w:val="24"/>
        </w:rPr>
      </w:pPr>
      <w:r>
        <w:rPr>
          <w:sz w:val="24"/>
          <w:szCs w:val="24"/>
        </w:rPr>
        <w:t>Menetluskulude nimekirja kohaselt on hageja koostanud vastuse kostja apellatsioonkaebusele ja kulutanud selleks õigusabile 200 eurot (2,5 tundi x 80 eurot).</w:t>
      </w:r>
    </w:p>
    <w:p w:rsidR="001E65B9" w:rsidRPr="00075CE6" w:rsidRDefault="001E65B9" w:rsidP="0053549F">
      <w:pPr>
        <w:spacing w:before="60" w:after="60"/>
        <w:jc w:val="both"/>
        <w:rPr>
          <w:sz w:val="24"/>
          <w:szCs w:val="24"/>
        </w:rPr>
      </w:pPr>
      <w:r>
        <w:rPr>
          <w:sz w:val="24"/>
          <w:szCs w:val="24"/>
        </w:rPr>
        <w:t xml:space="preserve">Ringkonnakohus leiab, et hageja õigusabikulud 200 eurot on põhjendatud ja vajalikud </w:t>
      </w:r>
      <w:proofErr w:type="spellStart"/>
      <w:r>
        <w:rPr>
          <w:sz w:val="24"/>
          <w:szCs w:val="24"/>
        </w:rPr>
        <w:t>TsMS</w:t>
      </w:r>
      <w:proofErr w:type="spellEnd"/>
      <w:r>
        <w:rPr>
          <w:sz w:val="24"/>
          <w:szCs w:val="24"/>
        </w:rPr>
        <w:t xml:space="preserve">     § 175 lg 1 tähenduses ning </w:t>
      </w:r>
      <w:r w:rsidR="00DE21EE">
        <w:rPr>
          <w:sz w:val="24"/>
          <w:szCs w:val="24"/>
        </w:rPr>
        <w:t>seetõttu tuleb kostjalt hageja õigusabikulude katteks välja mõista 200 eurot.</w:t>
      </w:r>
    </w:p>
    <w:p w:rsidR="00FC5411" w:rsidRPr="00CD0234" w:rsidRDefault="00FC5411" w:rsidP="00D03DC0">
      <w:pPr>
        <w:spacing w:before="60" w:after="60"/>
        <w:jc w:val="both"/>
        <w:rPr>
          <w:sz w:val="24"/>
          <w:szCs w:val="24"/>
        </w:rPr>
      </w:pPr>
    </w:p>
    <w:p w:rsidR="00FC5411" w:rsidRDefault="00FC5411" w:rsidP="00D03DC0">
      <w:pPr>
        <w:spacing w:before="60" w:after="60"/>
        <w:jc w:val="both"/>
        <w:rPr>
          <w:sz w:val="24"/>
          <w:szCs w:val="24"/>
        </w:rPr>
      </w:pPr>
    </w:p>
    <w:p w:rsidR="00FC5411" w:rsidRDefault="00FC5411" w:rsidP="00D03DC0">
      <w:pPr>
        <w:spacing w:before="60" w:after="60"/>
        <w:jc w:val="both"/>
        <w:rPr>
          <w:sz w:val="24"/>
          <w:szCs w:val="24"/>
        </w:rPr>
      </w:pPr>
    </w:p>
    <w:tbl>
      <w:tblPr>
        <w:tblW w:w="0" w:type="auto"/>
        <w:tblLook w:val="04A0" w:firstRow="1" w:lastRow="0" w:firstColumn="1" w:lastColumn="0" w:noHBand="0" w:noVBand="1"/>
      </w:tblPr>
      <w:tblGrid>
        <w:gridCol w:w="3022"/>
        <w:gridCol w:w="3024"/>
        <w:gridCol w:w="3024"/>
      </w:tblGrid>
      <w:tr w:rsidR="00D03DC0" w:rsidRPr="00396575" w:rsidTr="008E1F87">
        <w:tc>
          <w:tcPr>
            <w:tcW w:w="3022" w:type="dxa"/>
          </w:tcPr>
          <w:p w:rsidR="00D03DC0" w:rsidRPr="00BF26F2" w:rsidRDefault="00D03DC0" w:rsidP="008E1F87">
            <w:pPr>
              <w:spacing w:before="60"/>
              <w:jc w:val="center"/>
              <w:rPr>
                <w:sz w:val="24"/>
                <w:szCs w:val="24"/>
              </w:rPr>
            </w:pPr>
            <w:r w:rsidRPr="00BF26F2">
              <w:rPr>
                <w:sz w:val="24"/>
                <w:szCs w:val="24"/>
              </w:rPr>
              <w:t>/allkirjastatud digitaalselt/</w:t>
            </w:r>
          </w:p>
          <w:p w:rsidR="00D03DC0" w:rsidRPr="00BF26F2" w:rsidRDefault="00D03DC0" w:rsidP="008E1F87">
            <w:pPr>
              <w:spacing w:before="60"/>
              <w:jc w:val="center"/>
              <w:rPr>
                <w:sz w:val="24"/>
                <w:szCs w:val="24"/>
              </w:rPr>
            </w:pPr>
            <w:r>
              <w:rPr>
                <w:sz w:val="24"/>
                <w:szCs w:val="24"/>
              </w:rPr>
              <w:t>Viivi Tomson</w:t>
            </w:r>
          </w:p>
        </w:tc>
        <w:tc>
          <w:tcPr>
            <w:tcW w:w="3024" w:type="dxa"/>
          </w:tcPr>
          <w:p w:rsidR="00D03DC0" w:rsidRPr="00BF26F2" w:rsidRDefault="00D03DC0" w:rsidP="008E1F87">
            <w:pPr>
              <w:spacing w:before="60"/>
              <w:jc w:val="center"/>
              <w:rPr>
                <w:noProof/>
                <w:sz w:val="24"/>
                <w:szCs w:val="24"/>
              </w:rPr>
            </w:pPr>
            <w:r w:rsidRPr="00BF26F2">
              <w:rPr>
                <w:sz w:val="24"/>
                <w:szCs w:val="24"/>
              </w:rPr>
              <w:t>/allkirjastatud digitaalselt/</w:t>
            </w:r>
          </w:p>
          <w:p w:rsidR="00D03DC0" w:rsidRPr="00BF26F2" w:rsidRDefault="00D03DC0" w:rsidP="008E1F87">
            <w:pPr>
              <w:spacing w:before="60"/>
              <w:jc w:val="center"/>
              <w:rPr>
                <w:sz w:val="24"/>
                <w:szCs w:val="24"/>
              </w:rPr>
            </w:pPr>
            <w:r>
              <w:rPr>
                <w:sz w:val="24"/>
                <w:szCs w:val="24"/>
              </w:rPr>
              <w:t>Triin Uusen-Nacke</w:t>
            </w:r>
          </w:p>
        </w:tc>
        <w:tc>
          <w:tcPr>
            <w:tcW w:w="3024" w:type="dxa"/>
          </w:tcPr>
          <w:p w:rsidR="00D03DC0" w:rsidRPr="00BF26F2" w:rsidRDefault="00D03DC0" w:rsidP="008E1F87">
            <w:pPr>
              <w:spacing w:before="60"/>
              <w:jc w:val="center"/>
              <w:rPr>
                <w:noProof/>
                <w:sz w:val="24"/>
                <w:szCs w:val="24"/>
              </w:rPr>
            </w:pPr>
            <w:r w:rsidRPr="00BF26F2">
              <w:rPr>
                <w:sz w:val="24"/>
                <w:szCs w:val="24"/>
              </w:rPr>
              <w:t>/allkirjastatud digitaalselt/</w:t>
            </w:r>
          </w:p>
          <w:p w:rsidR="00D03DC0" w:rsidRPr="00BF26F2" w:rsidRDefault="00D03DC0" w:rsidP="008E1F87">
            <w:pPr>
              <w:spacing w:before="60"/>
              <w:jc w:val="center"/>
              <w:rPr>
                <w:sz w:val="24"/>
                <w:szCs w:val="24"/>
              </w:rPr>
            </w:pPr>
            <w:r w:rsidRPr="00BF26F2">
              <w:rPr>
                <w:noProof/>
                <w:sz w:val="24"/>
                <w:szCs w:val="24"/>
              </w:rPr>
              <w:t>Üllar Roostoja</w:t>
            </w:r>
          </w:p>
        </w:tc>
      </w:tr>
    </w:tbl>
    <w:p w:rsidR="00D03DC0" w:rsidRPr="00254149" w:rsidRDefault="00D03DC0" w:rsidP="00254149">
      <w:pPr>
        <w:spacing w:before="60" w:after="60"/>
        <w:jc w:val="both"/>
        <w:rPr>
          <w:sz w:val="24"/>
        </w:rPr>
      </w:pPr>
    </w:p>
    <w:sectPr w:rsidR="00D03DC0" w:rsidRPr="00254149" w:rsidSect="009A7852">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96" w:rsidRDefault="00564196">
      <w:r>
        <w:separator/>
      </w:r>
    </w:p>
  </w:endnote>
  <w:endnote w:type="continuationSeparator" w:id="0">
    <w:p w:rsidR="00564196" w:rsidRDefault="005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aramond">
    <w:panose1 w:val="020205020503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28" w:rsidRDefault="001F3328" w:rsidP="00400287">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1F3328" w:rsidRDefault="001F3328">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28" w:rsidRDefault="001F3328" w:rsidP="00400287">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DC66C7">
      <w:rPr>
        <w:rStyle w:val="Lehekljenumber"/>
        <w:noProof/>
      </w:rPr>
      <w:t>6</w:t>
    </w:r>
    <w:r>
      <w:rPr>
        <w:rStyle w:val="Lehekljenumber"/>
      </w:rPr>
      <w:fldChar w:fldCharType="end"/>
    </w:r>
  </w:p>
  <w:p w:rsidR="001F3328" w:rsidRDefault="001F332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96" w:rsidRDefault="00564196">
      <w:r>
        <w:separator/>
      </w:r>
    </w:p>
  </w:footnote>
  <w:footnote w:type="continuationSeparator" w:id="0">
    <w:p w:rsidR="00564196" w:rsidRDefault="0056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28" w:rsidRDefault="001F3328" w:rsidP="009201AD">
    <w:pPr>
      <w:framePr w:w="8725" w:h="2881" w:hSpace="180" w:wrap="around" w:vAnchor="page" w:hAnchor="page" w:x="1903" w:y="721"/>
    </w:pPr>
  </w:p>
  <w:p w:rsidR="001F3328" w:rsidRDefault="001F332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D8"/>
    <w:multiLevelType w:val="hybridMultilevel"/>
    <w:tmpl w:val="D03412C8"/>
    <w:lvl w:ilvl="0" w:tplc="AC12C8FA">
      <w:start w:val="1"/>
      <w:numFmt w:val="decimal"/>
      <w:lvlText w:val="%1)"/>
      <w:lvlJc w:val="left"/>
      <w:pPr>
        <w:tabs>
          <w:tab w:val="num" w:pos="360"/>
        </w:tabs>
        <w:ind w:left="0" w:firstLine="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A53C83"/>
    <w:multiLevelType w:val="multilevel"/>
    <w:tmpl w:val="01ECFA00"/>
    <w:styleLink w:val="111111"/>
    <w:lvl w:ilvl="0">
      <w:start w:val="1"/>
      <w:numFmt w:val="decimal"/>
      <w:lvlText w:val="%1."/>
      <w:lvlJc w:val="left"/>
      <w:pPr>
        <w:tabs>
          <w:tab w:val="num" w:pos="680"/>
        </w:tabs>
        <w:ind w:left="680" w:hanging="680"/>
      </w:pPr>
      <w:rPr>
        <w:rFonts w:ascii="Garamond" w:hAnsi="Garamond" w:hint="default"/>
        <w:sz w:val="26"/>
      </w:rPr>
    </w:lvl>
    <w:lvl w:ilvl="1">
      <w:start w:val="1"/>
      <w:numFmt w:val="decimal"/>
      <w:lvlText w:val="%1.%2"/>
      <w:lvlJc w:val="left"/>
      <w:pPr>
        <w:tabs>
          <w:tab w:val="num" w:pos="68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7057B"/>
    <w:multiLevelType w:val="hybridMultilevel"/>
    <w:tmpl w:val="3F6EBD38"/>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EA91697"/>
    <w:multiLevelType w:val="hybridMultilevel"/>
    <w:tmpl w:val="742E7352"/>
    <w:lvl w:ilvl="0" w:tplc="2736A67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95745FC"/>
    <w:multiLevelType w:val="multilevel"/>
    <w:tmpl w:val="01ECFA00"/>
    <w:lvl w:ilvl="0">
      <w:start w:val="1"/>
      <w:numFmt w:val="decimal"/>
      <w:lvlText w:val="%1."/>
      <w:lvlJc w:val="left"/>
      <w:pPr>
        <w:tabs>
          <w:tab w:val="num" w:pos="680"/>
        </w:tabs>
        <w:ind w:left="680" w:hanging="680"/>
      </w:pPr>
      <w:rPr>
        <w:rFonts w:ascii="Garamond" w:hAnsi="Garamond" w:hint="default"/>
        <w:sz w:val="26"/>
      </w:rPr>
    </w:lvl>
    <w:lvl w:ilvl="1">
      <w:start w:val="1"/>
      <w:numFmt w:val="decimal"/>
      <w:lvlText w:val="%1.%2"/>
      <w:lvlJc w:val="left"/>
      <w:pPr>
        <w:tabs>
          <w:tab w:val="num" w:pos="68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9C2562"/>
    <w:multiLevelType w:val="multilevel"/>
    <w:tmpl w:val="01ECFA00"/>
    <w:numStyleLink w:val="111111"/>
  </w:abstractNum>
  <w:abstractNum w:abstractNumId="6">
    <w:nsid w:val="1DF27BC8"/>
    <w:multiLevelType w:val="hybridMultilevel"/>
    <w:tmpl w:val="A3FA2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4435D46"/>
    <w:multiLevelType w:val="hybridMultilevel"/>
    <w:tmpl w:val="3436598E"/>
    <w:lvl w:ilvl="0" w:tplc="B218D212">
      <w:start w:val="1"/>
      <w:numFmt w:val="decimal"/>
      <w:lvlText w:val="%1)"/>
      <w:lvlJc w:val="left"/>
      <w:pPr>
        <w:tabs>
          <w:tab w:val="num" w:pos="360"/>
        </w:tabs>
        <w:ind w:left="0" w:firstLine="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nsid w:val="68E55C16"/>
    <w:multiLevelType w:val="hybridMultilevel"/>
    <w:tmpl w:val="E1E226C6"/>
    <w:lvl w:ilvl="0" w:tplc="00B2257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E4"/>
    <w:rsid w:val="000024BE"/>
    <w:rsid w:val="000078DC"/>
    <w:rsid w:val="0001418A"/>
    <w:rsid w:val="000144A0"/>
    <w:rsid w:val="00015CB1"/>
    <w:rsid w:val="00021A19"/>
    <w:rsid w:val="000223F2"/>
    <w:rsid w:val="00035105"/>
    <w:rsid w:val="00036F1E"/>
    <w:rsid w:val="00043B6C"/>
    <w:rsid w:val="00046013"/>
    <w:rsid w:val="00050A6E"/>
    <w:rsid w:val="00050BF1"/>
    <w:rsid w:val="000555CE"/>
    <w:rsid w:val="000573AA"/>
    <w:rsid w:val="00061E8B"/>
    <w:rsid w:val="00070BEE"/>
    <w:rsid w:val="00075C85"/>
    <w:rsid w:val="00075CE6"/>
    <w:rsid w:val="00081BD1"/>
    <w:rsid w:val="00084B00"/>
    <w:rsid w:val="00091B1A"/>
    <w:rsid w:val="00091FB0"/>
    <w:rsid w:val="000975D7"/>
    <w:rsid w:val="000A0022"/>
    <w:rsid w:val="000A01AA"/>
    <w:rsid w:val="000A7A92"/>
    <w:rsid w:val="000B2957"/>
    <w:rsid w:val="000B65A5"/>
    <w:rsid w:val="000C1D9A"/>
    <w:rsid w:val="000C27DE"/>
    <w:rsid w:val="000D468A"/>
    <w:rsid w:val="000D6864"/>
    <w:rsid w:val="000E0FAC"/>
    <w:rsid w:val="000E5C17"/>
    <w:rsid w:val="000E60EC"/>
    <w:rsid w:val="000F6C59"/>
    <w:rsid w:val="000F77A3"/>
    <w:rsid w:val="00104522"/>
    <w:rsid w:val="001048B7"/>
    <w:rsid w:val="0010515C"/>
    <w:rsid w:val="00115AE2"/>
    <w:rsid w:val="00115C97"/>
    <w:rsid w:val="001212E5"/>
    <w:rsid w:val="00122F38"/>
    <w:rsid w:val="00126E9C"/>
    <w:rsid w:val="001411B0"/>
    <w:rsid w:val="001453D8"/>
    <w:rsid w:val="001518AE"/>
    <w:rsid w:val="00153837"/>
    <w:rsid w:val="00155043"/>
    <w:rsid w:val="001577F0"/>
    <w:rsid w:val="00166140"/>
    <w:rsid w:val="00170718"/>
    <w:rsid w:val="00174F8E"/>
    <w:rsid w:val="00177FCD"/>
    <w:rsid w:val="001811D2"/>
    <w:rsid w:val="001862EE"/>
    <w:rsid w:val="001866FD"/>
    <w:rsid w:val="00187DEF"/>
    <w:rsid w:val="00193811"/>
    <w:rsid w:val="00197F86"/>
    <w:rsid w:val="001A732D"/>
    <w:rsid w:val="001B24E4"/>
    <w:rsid w:val="001B369B"/>
    <w:rsid w:val="001B6AD3"/>
    <w:rsid w:val="001C0227"/>
    <w:rsid w:val="001C3BE4"/>
    <w:rsid w:val="001C4C74"/>
    <w:rsid w:val="001C5CB8"/>
    <w:rsid w:val="001D239A"/>
    <w:rsid w:val="001D3267"/>
    <w:rsid w:val="001D7FA7"/>
    <w:rsid w:val="001E612C"/>
    <w:rsid w:val="001E6231"/>
    <w:rsid w:val="001E65B9"/>
    <w:rsid w:val="001F3328"/>
    <w:rsid w:val="001F5AE3"/>
    <w:rsid w:val="002043CB"/>
    <w:rsid w:val="00204D3D"/>
    <w:rsid w:val="002103DF"/>
    <w:rsid w:val="00217653"/>
    <w:rsid w:val="00224CAB"/>
    <w:rsid w:val="002272D3"/>
    <w:rsid w:val="00233A19"/>
    <w:rsid w:val="002425E4"/>
    <w:rsid w:val="002449D0"/>
    <w:rsid w:val="002475DB"/>
    <w:rsid w:val="00247D40"/>
    <w:rsid w:val="00250842"/>
    <w:rsid w:val="00254149"/>
    <w:rsid w:val="00254375"/>
    <w:rsid w:val="00272C80"/>
    <w:rsid w:val="00273BFA"/>
    <w:rsid w:val="00281AFA"/>
    <w:rsid w:val="00284AEB"/>
    <w:rsid w:val="00293495"/>
    <w:rsid w:val="002944AB"/>
    <w:rsid w:val="002A09E7"/>
    <w:rsid w:val="002A0C3C"/>
    <w:rsid w:val="002A78C9"/>
    <w:rsid w:val="002B06C2"/>
    <w:rsid w:val="002B5E9E"/>
    <w:rsid w:val="002B69DA"/>
    <w:rsid w:val="002B747B"/>
    <w:rsid w:val="002C0596"/>
    <w:rsid w:val="002D6FD7"/>
    <w:rsid w:val="002E4D61"/>
    <w:rsid w:val="002F2B30"/>
    <w:rsid w:val="003017CA"/>
    <w:rsid w:val="00303EEE"/>
    <w:rsid w:val="003211CD"/>
    <w:rsid w:val="00322350"/>
    <w:rsid w:val="00324B2A"/>
    <w:rsid w:val="003256CD"/>
    <w:rsid w:val="00331D8C"/>
    <w:rsid w:val="0033379A"/>
    <w:rsid w:val="003339F0"/>
    <w:rsid w:val="00334685"/>
    <w:rsid w:val="00334D6A"/>
    <w:rsid w:val="003357E1"/>
    <w:rsid w:val="00341DEC"/>
    <w:rsid w:val="0034387A"/>
    <w:rsid w:val="00343AF0"/>
    <w:rsid w:val="003443F8"/>
    <w:rsid w:val="00350568"/>
    <w:rsid w:val="00351F3B"/>
    <w:rsid w:val="0035506F"/>
    <w:rsid w:val="00355C5A"/>
    <w:rsid w:val="00355DF0"/>
    <w:rsid w:val="00360ED6"/>
    <w:rsid w:val="00364FD6"/>
    <w:rsid w:val="00366692"/>
    <w:rsid w:val="00366E7F"/>
    <w:rsid w:val="00371538"/>
    <w:rsid w:val="0037456E"/>
    <w:rsid w:val="00377118"/>
    <w:rsid w:val="00385E58"/>
    <w:rsid w:val="00394F2E"/>
    <w:rsid w:val="003A029C"/>
    <w:rsid w:val="003A067A"/>
    <w:rsid w:val="003A459D"/>
    <w:rsid w:val="003B533E"/>
    <w:rsid w:val="003B704F"/>
    <w:rsid w:val="003C318C"/>
    <w:rsid w:val="003D606A"/>
    <w:rsid w:val="003D66C0"/>
    <w:rsid w:val="003E5B74"/>
    <w:rsid w:val="003E64CF"/>
    <w:rsid w:val="003F5E80"/>
    <w:rsid w:val="003F6730"/>
    <w:rsid w:val="003F6F5A"/>
    <w:rsid w:val="003F7343"/>
    <w:rsid w:val="00400287"/>
    <w:rsid w:val="00400CE0"/>
    <w:rsid w:val="0040302D"/>
    <w:rsid w:val="00410757"/>
    <w:rsid w:val="00417FF6"/>
    <w:rsid w:val="00420097"/>
    <w:rsid w:val="0042783C"/>
    <w:rsid w:val="00433BC4"/>
    <w:rsid w:val="0044439A"/>
    <w:rsid w:val="00445687"/>
    <w:rsid w:val="00445A50"/>
    <w:rsid w:val="004506C8"/>
    <w:rsid w:val="00454647"/>
    <w:rsid w:val="00456ECC"/>
    <w:rsid w:val="004572D5"/>
    <w:rsid w:val="00463A4A"/>
    <w:rsid w:val="004738BD"/>
    <w:rsid w:val="00473D0E"/>
    <w:rsid w:val="00473EC5"/>
    <w:rsid w:val="00475537"/>
    <w:rsid w:val="0047611D"/>
    <w:rsid w:val="00483E3D"/>
    <w:rsid w:val="004842FF"/>
    <w:rsid w:val="00490BE3"/>
    <w:rsid w:val="00494ECE"/>
    <w:rsid w:val="0049675E"/>
    <w:rsid w:val="004A76F9"/>
    <w:rsid w:val="004B1006"/>
    <w:rsid w:val="004C1B0D"/>
    <w:rsid w:val="004C253E"/>
    <w:rsid w:val="004D274C"/>
    <w:rsid w:val="004D64CA"/>
    <w:rsid w:val="004E3921"/>
    <w:rsid w:val="004E7EF7"/>
    <w:rsid w:val="004F096A"/>
    <w:rsid w:val="004F0FAF"/>
    <w:rsid w:val="004F2085"/>
    <w:rsid w:val="00501B66"/>
    <w:rsid w:val="00517BF6"/>
    <w:rsid w:val="0052315A"/>
    <w:rsid w:val="00523D1F"/>
    <w:rsid w:val="005349D8"/>
    <w:rsid w:val="00534C8E"/>
    <w:rsid w:val="0053549F"/>
    <w:rsid w:val="00535FE7"/>
    <w:rsid w:val="00540F64"/>
    <w:rsid w:val="005412D2"/>
    <w:rsid w:val="005442CA"/>
    <w:rsid w:val="005518DA"/>
    <w:rsid w:val="00555AE6"/>
    <w:rsid w:val="00557A13"/>
    <w:rsid w:val="00562B5C"/>
    <w:rsid w:val="00564196"/>
    <w:rsid w:val="00571F06"/>
    <w:rsid w:val="00572E40"/>
    <w:rsid w:val="005742AB"/>
    <w:rsid w:val="00574A0A"/>
    <w:rsid w:val="00580A18"/>
    <w:rsid w:val="0058110C"/>
    <w:rsid w:val="00587B42"/>
    <w:rsid w:val="00596CA2"/>
    <w:rsid w:val="005A2AE2"/>
    <w:rsid w:val="005A32F9"/>
    <w:rsid w:val="005D02F4"/>
    <w:rsid w:val="005D0E43"/>
    <w:rsid w:val="005D14C5"/>
    <w:rsid w:val="005D4D9C"/>
    <w:rsid w:val="005E0346"/>
    <w:rsid w:val="005E1528"/>
    <w:rsid w:val="005E366C"/>
    <w:rsid w:val="005E4706"/>
    <w:rsid w:val="005E5BA6"/>
    <w:rsid w:val="005F5F9B"/>
    <w:rsid w:val="006003DF"/>
    <w:rsid w:val="00606F88"/>
    <w:rsid w:val="00615EE3"/>
    <w:rsid w:val="00615F87"/>
    <w:rsid w:val="006222C9"/>
    <w:rsid w:val="00623AC7"/>
    <w:rsid w:val="00625E60"/>
    <w:rsid w:val="00626DD7"/>
    <w:rsid w:val="006301E6"/>
    <w:rsid w:val="006341BF"/>
    <w:rsid w:val="00635B23"/>
    <w:rsid w:val="006368A0"/>
    <w:rsid w:val="00642EF8"/>
    <w:rsid w:val="006441E3"/>
    <w:rsid w:val="00652745"/>
    <w:rsid w:val="006607C7"/>
    <w:rsid w:val="00660FE4"/>
    <w:rsid w:val="0066764A"/>
    <w:rsid w:val="006725FA"/>
    <w:rsid w:val="00674BBD"/>
    <w:rsid w:val="00675E2C"/>
    <w:rsid w:val="00680132"/>
    <w:rsid w:val="006838E1"/>
    <w:rsid w:val="0068603E"/>
    <w:rsid w:val="0069237D"/>
    <w:rsid w:val="00693E9E"/>
    <w:rsid w:val="006A68A2"/>
    <w:rsid w:val="006B50ED"/>
    <w:rsid w:val="006C05A5"/>
    <w:rsid w:val="006C3292"/>
    <w:rsid w:val="006C38E7"/>
    <w:rsid w:val="006C432C"/>
    <w:rsid w:val="006C7598"/>
    <w:rsid w:val="006E0C95"/>
    <w:rsid w:val="006F2BEA"/>
    <w:rsid w:val="006F2BEB"/>
    <w:rsid w:val="006F396B"/>
    <w:rsid w:val="006F3F0A"/>
    <w:rsid w:val="006F693A"/>
    <w:rsid w:val="00707ED8"/>
    <w:rsid w:val="00710859"/>
    <w:rsid w:val="0071140B"/>
    <w:rsid w:val="007207C0"/>
    <w:rsid w:val="00724B7C"/>
    <w:rsid w:val="007260DE"/>
    <w:rsid w:val="007303EE"/>
    <w:rsid w:val="00733520"/>
    <w:rsid w:val="00740BA4"/>
    <w:rsid w:val="007423EF"/>
    <w:rsid w:val="00744DD7"/>
    <w:rsid w:val="00754D15"/>
    <w:rsid w:val="00757256"/>
    <w:rsid w:val="007572C1"/>
    <w:rsid w:val="007615C6"/>
    <w:rsid w:val="0076438A"/>
    <w:rsid w:val="007660C1"/>
    <w:rsid w:val="00774AFC"/>
    <w:rsid w:val="007901DF"/>
    <w:rsid w:val="00791DC9"/>
    <w:rsid w:val="00796033"/>
    <w:rsid w:val="007A6DA4"/>
    <w:rsid w:val="007A7309"/>
    <w:rsid w:val="007B2879"/>
    <w:rsid w:val="007C5FC4"/>
    <w:rsid w:val="007C74BD"/>
    <w:rsid w:val="007D48D6"/>
    <w:rsid w:val="007D4A9D"/>
    <w:rsid w:val="007E212F"/>
    <w:rsid w:val="007E26D8"/>
    <w:rsid w:val="007E3773"/>
    <w:rsid w:val="007E61EF"/>
    <w:rsid w:val="007F07F2"/>
    <w:rsid w:val="007F4F7E"/>
    <w:rsid w:val="007F54FC"/>
    <w:rsid w:val="007F6D58"/>
    <w:rsid w:val="008009D6"/>
    <w:rsid w:val="00801BAF"/>
    <w:rsid w:val="00801F83"/>
    <w:rsid w:val="00802902"/>
    <w:rsid w:val="0080302F"/>
    <w:rsid w:val="00811A7E"/>
    <w:rsid w:val="00812EC5"/>
    <w:rsid w:val="008165E0"/>
    <w:rsid w:val="008205DA"/>
    <w:rsid w:val="00821A0E"/>
    <w:rsid w:val="0082659C"/>
    <w:rsid w:val="0083382D"/>
    <w:rsid w:val="0083682B"/>
    <w:rsid w:val="008404FE"/>
    <w:rsid w:val="00843476"/>
    <w:rsid w:val="008466EC"/>
    <w:rsid w:val="00846BFA"/>
    <w:rsid w:val="00851AC8"/>
    <w:rsid w:val="0085374F"/>
    <w:rsid w:val="008556CD"/>
    <w:rsid w:val="00860060"/>
    <w:rsid w:val="00861444"/>
    <w:rsid w:val="008631F0"/>
    <w:rsid w:val="00863D9A"/>
    <w:rsid w:val="00867DF8"/>
    <w:rsid w:val="0087065F"/>
    <w:rsid w:val="00871AAF"/>
    <w:rsid w:val="008729AD"/>
    <w:rsid w:val="00876506"/>
    <w:rsid w:val="00881D88"/>
    <w:rsid w:val="008837CB"/>
    <w:rsid w:val="0089066D"/>
    <w:rsid w:val="008956FF"/>
    <w:rsid w:val="008A0689"/>
    <w:rsid w:val="008A4809"/>
    <w:rsid w:val="008B320B"/>
    <w:rsid w:val="008B495B"/>
    <w:rsid w:val="008B743C"/>
    <w:rsid w:val="008C15A4"/>
    <w:rsid w:val="008C1CDB"/>
    <w:rsid w:val="008C3736"/>
    <w:rsid w:val="008C4C0B"/>
    <w:rsid w:val="008C5957"/>
    <w:rsid w:val="008C696A"/>
    <w:rsid w:val="008C6D28"/>
    <w:rsid w:val="008C7008"/>
    <w:rsid w:val="008D23D1"/>
    <w:rsid w:val="008D5191"/>
    <w:rsid w:val="008E74AA"/>
    <w:rsid w:val="008F00FA"/>
    <w:rsid w:val="008F226F"/>
    <w:rsid w:val="008F3BBA"/>
    <w:rsid w:val="008F758B"/>
    <w:rsid w:val="009020DD"/>
    <w:rsid w:val="009032B8"/>
    <w:rsid w:val="009044FE"/>
    <w:rsid w:val="009115FD"/>
    <w:rsid w:val="00911BB9"/>
    <w:rsid w:val="009169C9"/>
    <w:rsid w:val="00916AB6"/>
    <w:rsid w:val="009201AD"/>
    <w:rsid w:val="00923501"/>
    <w:rsid w:val="00924525"/>
    <w:rsid w:val="00940E53"/>
    <w:rsid w:val="00941649"/>
    <w:rsid w:val="00945100"/>
    <w:rsid w:val="00950149"/>
    <w:rsid w:val="00950950"/>
    <w:rsid w:val="00962A30"/>
    <w:rsid w:val="009644E0"/>
    <w:rsid w:val="00967A01"/>
    <w:rsid w:val="00972EBE"/>
    <w:rsid w:val="009763CB"/>
    <w:rsid w:val="00992EAC"/>
    <w:rsid w:val="009A3108"/>
    <w:rsid w:val="009A7852"/>
    <w:rsid w:val="009B4AD1"/>
    <w:rsid w:val="009B750E"/>
    <w:rsid w:val="009C1A6A"/>
    <w:rsid w:val="009C7210"/>
    <w:rsid w:val="009D1149"/>
    <w:rsid w:val="009D3B6A"/>
    <w:rsid w:val="009D42E4"/>
    <w:rsid w:val="009D66BA"/>
    <w:rsid w:val="009D7BF7"/>
    <w:rsid w:val="009F47EC"/>
    <w:rsid w:val="00A013A8"/>
    <w:rsid w:val="00A1007E"/>
    <w:rsid w:val="00A1055B"/>
    <w:rsid w:val="00A11670"/>
    <w:rsid w:val="00A13467"/>
    <w:rsid w:val="00A165EF"/>
    <w:rsid w:val="00A22408"/>
    <w:rsid w:val="00A27678"/>
    <w:rsid w:val="00A304D7"/>
    <w:rsid w:val="00A31B84"/>
    <w:rsid w:val="00A35B4C"/>
    <w:rsid w:val="00A4060E"/>
    <w:rsid w:val="00A50D1D"/>
    <w:rsid w:val="00A53138"/>
    <w:rsid w:val="00A632CF"/>
    <w:rsid w:val="00A649A5"/>
    <w:rsid w:val="00A6786D"/>
    <w:rsid w:val="00A73B77"/>
    <w:rsid w:val="00A73D40"/>
    <w:rsid w:val="00A74161"/>
    <w:rsid w:val="00A75E28"/>
    <w:rsid w:val="00A774FD"/>
    <w:rsid w:val="00A84E5B"/>
    <w:rsid w:val="00A8751B"/>
    <w:rsid w:val="00A90C85"/>
    <w:rsid w:val="00A91D4E"/>
    <w:rsid w:val="00A91D96"/>
    <w:rsid w:val="00AA50E1"/>
    <w:rsid w:val="00AB2547"/>
    <w:rsid w:val="00AB3263"/>
    <w:rsid w:val="00AB5895"/>
    <w:rsid w:val="00AC0BE9"/>
    <w:rsid w:val="00AC2D97"/>
    <w:rsid w:val="00AC6A84"/>
    <w:rsid w:val="00AD2D10"/>
    <w:rsid w:val="00AD4795"/>
    <w:rsid w:val="00AE1BBD"/>
    <w:rsid w:val="00AE433F"/>
    <w:rsid w:val="00AE6DAB"/>
    <w:rsid w:val="00AE7638"/>
    <w:rsid w:val="00AF63E3"/>
    <w:rsid w:val="00AF734F"/>
    <w:rsid w:val="00B0600B"/>
    <w:rsid w:val="00B07327"/>
    <w:rsid w:val="00B158C9"/>
    <w:rsid w:val="00B15D4F"/>
    <w:rsid w:val="00B248AF"/>
    <w:rsid w:val="00B27A4E"/>
    <w:rsid w:val="00B33BA6"/>
    <w:rsid w:val="00B34224"/>
    <w:rsid w:val="00B35B24"/>
    <w:rsid w:val="00B378AB"/>
    <w:rsid w:val="00B40E85"/>
    <w:rsid w:val="00B41CE5"/>
    <w:rsid w:val="00B42541"/>
    <w:rsid w:val="00B47B72"/>
    <w:rsid w:val="00B50BC7"/>
    <w:rsid w:val="00B51D68"/>
    <w:rsid w:val="00B52497"/>
    <w:rsid w:val="00B52EB6"/>
    <w:rsid w:val="00B55E43"/>
    <w:rsid w:val="00B56B94"/>
    <w:rsid w:val="00B63ADA"/>
    <w:rsid w:val="00B7014D"/>
    <w:rsid w:val="00B71C72"/>
    <w:rsid w:val="00B72C7B"/>
    <w:rsid w:val="00B73C3A"/>
    <w:rsid w:val="00B757F0"/>
    <w:rsid w:val="00B81A46"/>
    <w:rsid w:val="00B9350F"/>
    <w:rsid w:val="00BA2502"/>
    <w:rsid w:val="00BA5DC6"/>
    <w:rsid w:val="00BB1402"/>
    <w:rsid w:val="00BB4521"/>
    <w:rsid w:val="00BC1D51"/>
    <w:rsid w:val="00BC2D79"/>
    <w:rsid w:val="00BC5595"/>
    <w:rsid w:val="00BD1B0F"/>
    <w:rsid w:val="00BD2D7A"/>
    <w:rsid w:val="00BD4EDE"/>
    <w:rsid w:val="00BD6BAF"/>
    <w:rsid w:val="00BE2469"/>
    <w:rsid w:val="00BF19DA"/>
    <w:rsid w:val="00BF26F2"/>
    <w:rsid w:val="00C01F05"/>
    <w:rsid w:val="00C06351"/>
    <w:rsid w:val="00C06996"/>
    <w:rsid w:val="00C07B0A"/>
    <w:rsid w:val="00C12D01"/>
    <w:rsid w:val="00C12DEC"/>
    <w:rsid w:val="00C2676F"/>
    <w:rsid w:val="00C26894"/>
    <w:rsid w:val="00C3136B"/>
    <w:rsid w:val="00C3266A"/>
    <w:rsid w:val="00C3408E"/>
    <w:rsid w:val="00C523FD"/>
    <w:rsid w:val="00C5408A"/>
    <w:rsid w:val="00C55C6E"/>
    <w:rsid w:val="00C57B50"/>
    <w:rsid w:val="00C63D5F"/>
    <w:rsid w:val="00C63F81"/>
    <w:rsid w:val="00C67E02"/>
    <w:rsid w:val="00C75DC3"/>
    <w:rsid w:val="00C82769"/>
    <w:rsid w:val="00C8555B"/>
    <w:rsid w:val="00CA5730"/>
    <w:rsid w:val="00CB08BE"/>
    <w:rsid w:val="00CB483B"/>
    <w:rsid w:val="00CB684B"/>
    <w:rsid w:val="00CB6B19"/>
    <w:rsid w:val="00CB748F"/>
    <w:rsid w:val="00CC0704"/>
    <w:rsid w:val="00CC24C5"/>
    <w:rsid w:val="00CD0234"/>
    <w:rsid w:val="00CD1044"/>
    <w:rsid w:val="00CD1DC3"/>
    <w:rsid w:val="00CD40EF"/>
    <w:rsid w:val="00CE1721"/>
    <w:rsid w:val="00CE1F4B"/>
    <w:rsid w:val="00CE3115"/>
    <w:rsid w:val="00CE60BF"/>
    <w:rsid w:val="00CF0188"/>
    <w:rsid w:val="00CF0AE0"/>
    <w:rsid w:val="00D03DC0"/>
    <w:rsid w:val="00D071B5"/>
    <w:rsid w:val="00D10142"/>
    <w:rsid w:val="00D109BD"/>
    <w:rsid w:val="00D1378F"/>
    <w:rsid w:val="00D1601F"/>
    <w:rsid w:val="00D20570"/>
    <w:rsid w:val="00D225C1"/>
    <w:rsid w:val="00D238FB"/>
    <w:rsid w:val="00D25D3D"/>
    <w:rsid w:val="00D25D9E"/>
    <w:rsid w:val="00D277A8"/>
    <w:rsid w:val="00D32D0B"/>
    <w:rsid w:val="00D339C1"/>
    <w:rsid w:val="00D36569"/>
    <w:rsid w:val="00D45450"/>
    <w:rsid w:val="00D45D2C"/>
    <w:rsid w:val="00D47338"/>
    <w:rsid w:val="00D55E8B"/>
    <w:rsid w:val="00D61A14"/>
    <w:rsid w:val="00D626B2"/>
    <w:rsid w:val="00D62819"/>
    <w:rsid w:val="00D63F17"/>
    <w:rsid w:val="00D6566F"/>
    <w:rsid w:val="00D65BD7"/>
    <w:rsid w:val="00D7220E"/>
    <w:rsid w:val="00D751FC"/>
    <w:rsid w:val="00D7778C"/>
    <w:rsid w:val="00D804CB"/>
    <w:rsid w:val="00D86056"/>
    <w:rsid w:val="00D87C6A"/>
    <w:rsid w:val="00D90638"/>
    <w:rsid w:val="00D94D0E"/>
    <w:rsid w:val="00D953F2"/>
    <w:rsid w:val="00DA13E7"/>
    <w:rsid w:val="00DA15F0"/>
    <w:rsid w:val="00DB4C56"/>
    <w:rsid w:val="00DC0971"/>
    <w:rsid w:val="00DC3652"/>
    <w:rsid w:val="00DC66C7"/>
    <w:rsid w:val="00DD68CF"/>
    <w:rsid w:val="00DD788D"/>
    <w:rsid w:val="00DE21EE"/>
    <w:rsid w:val="00DE3C35"/>
    <w:rsid w:val="00DF01C9"/>
    <w:rsid w:val="00E0171A"/>
    <w:rsid w:val="00E02C4C"/>
    <w:rsid w:val="00E031C0"/>
    <w:rsid w:val="00E03982"/>
    <w:rsid w:val="00E0614C"/>
    <w:rsid w:val="00E108D5"/>
    <w:rsid w:val="00E13A09"/>
    <w:rsid w:val="00E14A12"/>
    <w:rsid w:val="00E16865"/>
    <w:rsid w:val="00E236D9"/>
    <w:rsid w:val="00E23A3B"/>
    <w:rsid w:val="00E26895"/>
    <w:rsid w:val="00E27739"/>
    <w:rsid w:val="00E318B2"/>
    <w:rsid w:val="00E3235D"/>
    <w:rsid w:val="00E33676"/>
    <w:rsid w:val="00E445FD"/>
    <w:rsid w:val="00E45A02"/>
    <w:rsid w:val="00E46204"/>
    <w:rsid w:val="00E4733B"/>
    <w:rsid w:val="00E47661"/>
    <w:rsid w:val="00E503F7"/>
    <w:rsid w:val="00E529C5"/>
    <w:rsid w:val="00E60E14"/>
    <w:rsid w:val="00E613E7"/>
    <w:rsid w:val="00E63F3A"/>
    <w:rsid w:val="00E67CA0"/>
    <w:rsid w:val="00E7028C"/>
    <w:rsid w:val="00E70513"/>
    <w:rsid w:val="00E7521C"/>
    <w:rsid w:val="00E80993"/>
    <w:rsid w:val="00E9299D"/>
    <w:rsid w:val="00E94CBA"/>
    <w:rsid w:val="00E97B5E"/>
    <w:rsid w:val="00EA76D1"/>
    <w:rsid w:val="00EB238A"/>
    <w:rsid w:val="00EC0993"/>
    <w:rsid w:val="00EC329B"/>
    <w:rsid w:val="00EC4896"/>
    <w:rsid w:val="00EC503D"/>
    <w:rsid w:val="00EE7562"/>
    <w:rsid w:val="00EF04C5"/>
    <w:rsid w:val="00EF34ED"/>
    <w:rsid w:val="00F00AC5"/>
    <w:rsid w:val="00F05ACD"/>
    <w:rsid w:val="00F07DE4"/>
    <w:rsid w:val="00F13B06"/>
    <w:rsid w:val="00F26008"/>
    <w:rsid w:val="00F26C34"/>
    <w:rsid w:val="00F2717D"/>
    <w:rsid w:val="00F33A6A"/>
    <w:rsid w:val="00F33D59"/>
    <w:rsid w:val="00F37545"/>
    <w:rsid w:val="00F419E3"/>
    <w:rsid w:val="00F475A3"/>
    <w:rsid w:val="00F50967"/>
    <w:rsid w:val="00F518AC"/>
    <w:rsid w:val="00F52C50"/>
    <w:rsid w:val="00F544ED"/>
    <w:rsid w:val="00F6272B"/>
    <w:rsid w:val="00F62BAA"/>
    <w:rsid w:val="00F62BB2"/>
    <w:rsid w:val="00F635AF"/>
    <w:rsid w:val="00F701F0"/>
    <w:rsid w:val="00F71E6A"/>
    <w:rsid w:val="00F72DDD"/>
    <w:rsid w:val="00F82FFD"/>
    <w:rsid w:val="00F86E66"/>
    <w:rsid w:val="00F97BE2"/>
    <w:rsid w:val="00FA0D71"/>
    <w:rsid w:val="00FA2576"/>
    <w:rsid w:val="00FA2E37"/>
    <w:rsid w:val="00FA3367"/>
    <w:rsid w:val="00FA42FC"/>
    <w:rsid w:val="00FA512F"/>
    <w:rsid w:val="00FB0B3C"/>
    <w:rsid w:val="00FB27FB"/>
    <w:rsid w:val="00FB5961"/>
    <w:rsid w:val="00FB620C"/>
    <w:rsid w:val="00FB670D"/>
    <w:rsid w:val="00FC163F"/>
    <w:rsid w:val="00FC3093"/>
    <w:rsid w:val="00FC5411"/>
    <w:rsid w:val="00FD1086"/>
    <w:rsid w:val="00FE3A29"/>
    <w:rsid w:val="00FE562F"/>
    <w:rsid w:val="00FE6ED6"/>
    <w:rsid w:val="00FF0162"/>
    <w:rsid w:val="00FF372D"/>
    <w:rsid w:val="00FF59E6"/>
    <w:rsid w:val="00FF6E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A2AE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aliases w:val=" Märk"/>
    <w:basedOn w:val="Normaallaad"/>
    <w:link w:val="PisMrk"/>
    <w:rsid w:val="001C3BE4"/>
    <w:pPr>
      <w:tabs>
        <w:tab w:val="center" w:pos="4536"/>
        <w:tab w:val="right" w:pos="9072"/>
      </w:tabs>
    </w:pPr>
  </w:style>
  <w:style w:type="paragraph" w:styleId="Jalus">
    <w:name w:val="footer"/>
    <w:basedOn w:val="Normaallaad"/>
    <w:rsid w:val="001C3BE4"/>
    <w:pPr>
      <w:tabs>
        <w:tab w:val="center" w:pos="4536"/>
        <w:tab w:val="right" w:pos="9072"/>
      </w:tabs>
    </w:pPr>
  </w:style>
  <w:style w:type="paragraph" w:styleId="Jutumullitekst">
    <w:name w:val="Balloon Text"/>
    <w:basedOn w:val="Normaallaad"/>
    <w:semiHidden/>
    <w:rsid w:val="00CD1044"/>
    <w:rPr>
      <w:rFonts w:ascii="Tahoma" w:hAnsi="Tahoma" w:cs="Tahoma"/>
      <w:sz w:val="16"/>
      <w:szCs w:val="16"/>
    </w:rPr>
  </w:style>
  <w:style w:type="character" w:styleId="Lehekljenumber">
    <w:name w:val="page number"/>
    <w:basedOn w:val="Liguvaikefont"/>
    <w:rsid w:val="00400287"/>
  </w:style>
  <w:style w:type="character" w:customStyle="1" w:styleId="PisMrk">
    <w:name w:val="Päis Märk"/>
    <w:aliases w:val=" Märk Märk"/>
    <w:link w:val="Pis"/>
    <w:rsid w:val="00E70513"/>
    <w:rPr>
      <w:lang w:val="et-EE" w:eastAsia="et-EE" w:bidi="ar-SA"/>
    </w:rPr>
  </w:style>
  <w:style w:type="paragraph" w:styleId="Vahedeta">
    <w:name w:val="No Spacing"/>
    <w:uiPriority w:val="1"/>
    <w:qFormat/>
    <w:rsid w:val="008F3BBA"/>
    <w:rPr>
      <w:rFonts w:asciiTheme="minorHAnsi" w:eastAsiaTheme="minorHAnsi" w:hAnsiTheme="minorHAnsi" w:cstheme="minorBidi"/>
      <w:sz w:val="22"/>
      <w:szCs w:val="22"/>
      <w:lang w:val="en-US" w:eastAsia="en-US"/>
    </w:rPr>
  </w:style>
  <w:style w:type="paragraph" w:customStyle="1" w:styleId="Default">
    <w:name w:val="Default"/>
    <w:rsid w:val="0087065F"/>
    <w:pPr>
      <w:autoSpaceDE w:val="0"/>
      <w:autoSpaceDN w:val="0"/>
      <w:adjustRightInd w:val="0"/>
    </w:pPr>
    <w:rPr>
      <w:rFonts w:ascii="Gill Sans MT" w:hAnsi="Gill Sans MT" w:cs="Gill Sans MT"/>
      <w:color w:val="000000"/>
      <w:sz w:val="24"/>
      <w:szCs w:val="24"/>
    </w:rPr>
  </w:style>
  <w:style w:type="numbering" w:styleId="111111">
    <w:name w:val="Outline List 2"/>
    <w:basedOn w:val="Loendita"/>
    <w:rsid w:val="0087065F"/>
    <w:pPr>
      <w:numPr>
        <w:numId w:val="3"/>
      </w:numPr>
    </w:pPr>
  </w:style>
  <w:style w:type="character" w:styleId="Hperlink">
    <w:name w:val="Hyperlink"/>
    <w:basedOn w:val="Liguvaikefont"/>
    <w:uiPriority w:val="99"/>
    <w:unhideWhenUsed/>
    <w:rsid w:val="0087065F"/>
    <w:rPr>
      <w:color w:val="0000FF" w:themeColor="hyperlink"/>
      <w:u w:val="single"/>
    </w:rPr>
  </w:style>
  <w:style w:type="paragraph" w:customStyle="1" w:styleId="Protsessiosalisedstaatusnimi">
    <w:name w:val="Protsessiosalised (staatus + nimi)"/>
    <w:basedOn w:val="Normaallaad"/>
    <w:rsid w:val="0087065F"/>
    <w:pPr>
      <w:tabs>
        <w:tab w:val="left" w:pos="2552"/>
      </w:tabs>
      <w:spacing w:before="120"/>
    </w:pPr>
    <w:rPr>
      <w:rFonts w:ascii="Garamond" w:hAnsi="Garamond"/>
      <w:b/>
      <w:sz w:val="26"/>
      <w:szCs w:val="24"/>
    </w:rPr>
  </w:style>
  <w:style w:type="paragraph" w:customStyle="1" w:styleId="Protsessiosalisedinfo">
    <w:name w:val="Protsessiosalised (info)"/>
    <w:basedOn w:val="Protsessiosalisedstaatusnimi"/>
    <w:rsid w:val="0087065F"/>
    <w:pPr>
      <w:spacing w:before="0"/>
      <w:ind w:left="2552"/>
    </w:pPr>
    <w:rPr>
      <w:b w:val="0"/>
    </w:rPr>
  </w:style>
  <w:style w:type="paragraph" w:customStyle="1" w:styleId="Pealkiridokumendi">
    <w:name w:val="Pealkiri (dokumendi)"/>
    <w:basedOn w:val="Normaallaad"/>
    <w:rsid w:val="0087065F"/>
    <w:pPr>
      <w:spacing w:before="360" w:line="240" w:lineRule="atLeast"/>
    </w:pPr>
    <w:rPr>
      <w:rFonts w:ascii="Garamond" w:hAnsi="Garamond"/>
      <w:b/>
      <w:caps/>
      <w:spacing w:val="24"/>
      <w:sz w:val="26"/>
      <w:szCs w:val="24"/>
    </w:rPr>
  </w:style>
  <w:style w:type="paragraph" w:customStyle="1" w:styleId="Pealkiridokumenditapsem">
    <w:name w:val="Pealkiri (dokumendi tapsem)"/>
    <w:basedOn w:val="Pealkiridokumendi"/>
    <w:rsid w:val="0087065F"/>
    <w:pPr>
      <w:spacing w:before="0"/>
    </w:pPr>
    <w:rPr>
      <w:caps w:val="0"/>
      <w:spacing w:val="0"/>
    </w:rPr>
  </w:style>
  <w:style w:type="paragraph" w:styleId="Loendilik">
    <w:name w:val="List Paragraph"/>
    <w:basedOn w:val="Normaallaad"/>
    <w:uiPriority w:val="34"/>
    <w:qFormat/>
    <w:rsid w:val="0087065F"/>
    <w:pPr>
      <w:spacing w:after="200" w:line="276" w:lineRule="auto"/>
      <w:ind w:left="720"/>
      <w:contextualSpacing/>
    </w:pPr>
    <w:rPr>
      <w:rFonts w:ascii="Garamond" w:eastAsiaTheme="minorHAnsi" w:hAnsi="Garamond" w:cstheme="minorBidi"/>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A2AE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aliases w:val=" Märk"/>
    <w:basedOn w:val="Normaallaad"/>
    <w:link w:val="PisMrk"/>
    <w:rsid w:val="001C3BE4"/>
    <w:pPr>
      <w:tabs>
        <w:tab w:val="center" w:pos="4536"/>
        <w:tab w:val="right" w:pos="9072"/>
      </w:tabs>
    </w:pPr>
  </w:style>
  <w:style w:type="paragraph" w:styleId="Jalus">
    <w:name w:val="footer"/>
    <w:basedOn w:val="Normaallaad"/>
    <w:rsid w:val="001C3BE4"/>
    <w:pPr>
      <w:tabs>
        <w:tab w:val="center" w:pos="4536"/>
        <w:tab w:val="right" w:pos="9072"/>
      </w:tabs>
    </w:pPr>
  </w:style>
  <w:style w:type="paragraph" w:styleId="Jutumullitekst">
    <w:name w:val="Balloon Text"/>
    <w:basedOn w:val="Normaallaad"/>
    <w:semiHidden/>
    <w:rsid w:val="00CD1044"/>
    <w:rPr>
      <w:rFonts w:ascii="Tahoma" w:hAnsi="Tahoma" w:cs="Tahoma"/>
      <w:sz w:val="16"/>
      <w:szCs w:val="16"/>
    </w:rPr>
  </w:style>
  <w:style w:type="character" w:styleId="Lehekljenumber">
    <w:name w:val="page number"/>
    <w:basedOn w:val="Liguvaikefont"/>
    <w:rsid w:val="00400287"/>
  </w:style>
  <w:style w:type="character" w:customStyle="1" w:styleId="PisMrk">
    <w:name w:val="Päis Märk"/>
    <w:aliases w:val=" Märk Märk"/>
    <w:link w:val="Pis"/>
    <w:rsid w:val="00E70513"/>
    <w:rPr>
      <w:lang w:val="et-EE" w:eastAsia="et-EE" w:bidi="ar-SA"/>
    </w:rPr>
  </w:style>
  <w:style w:type="paragraph" w:styleId="Vahedeta">
    <w:name w:val="No Spacing"/>
    <w:uiPriority w:val="1"/>
    <w:qFormat/>
    <w:rsid w:val="008F3BBA"/>
    <w:rPr>
      <w:rFonts w:asciiTheme="minorHAnsi" w:eastAsiaTheme="minorHAnsi" w:hAnsiTheme="minorHAnsi" w:cstheme="minorBidi"/>
      <w:sz w:val="22"/>
      <w:szCs w:val="22"/>
      <w:lang w:val="en-US" w:eastAsia="en-US"/>
    </w:rPr>
  </w:style>
  <w:style w:type="paragraph" w:customStyle="1" w:styleId="Default">
    <w:name w:val="Default"/>
    <w:rsid w:val="0087065F"/>
    <w:pPr>
      <w:autoSpaceDE w:val="0"/>
      <w:autoSpaceDN w:val="0"/>
      <w:adjustRightInd w:val="0"/>
    </w:pPr>
    <w:rPr>
      <w:rFonts w:ascii="Gill Sans MT" w:hAnsi="Gill Sans MT" w:cs="Gill Sans MT"/>
      <w:color w:val="000000"/>
      <w:sz w:val="24"/>
      <w:szCs w:val="24"/>
    </w:rPr>
  </w:style>
  <w:style w:type="numbering" w:styleId="111111">
    <w:name w:val="Outline List 2"/>
    <w:basedOn w:val="Loendita"/>
    <w:rsid w:val="0087065F"/>
    <w:pPr>
      <w:numPr>
        <w:numId w:val="3"/>
      </w:numPr>
    </w:pPr>
  </w:style>
  <w:style w:type="character" w:styleId="Hperlink">
    <w:name w:val="Hyperlink"/>
    <w:basedOn w:val="Liguvaikefont"/>
    <w:uiPriority w:val="99"/>
    <w:unhideWhenUsed/>
    <w:rsid w:val="0087065F"/>
    <w:rPr>
      <w:color w:val="0000FF" w:themeColor="hyperlink"/>
      <w:u w:val="single"/>
    </w:rPr>
  </w:style>
  <w:style w:type="paragraph" w:customStyle="1" w:styleId="Protsessiosalisedstaatusnimi">
    <w:name w:val="Protsessiosalised (staatus + nimi)"/>
    <w:basedOn w:val="Normaallaad"/>
    <w:rsid w:val="0087065F"/>
    <w:pPr>
      <w:tabs>
        <w:tab w:val="left" w:pos="2552"/>
      </w:tabs>
      <w:spacing w:before="120"/>
    </w:pPr>
    <w:rPr>
      <w:rFonts w:ascii="Garamond" w:hAnsi="Garamond"/>
      <w:b/>
      <w:sz w:val="26"/>
      <w:szCs w:val="24"/>
    </w:rPr>
  </w:style>
  <w:style w:type="paragraph" w:customStyle="1" w:styleId="Protsessiosalisedinfo">
    <w:name w:val="Protsessiosalised (info)"/>
    <w:basedOn w:val="Protsessiosalisedstaatusnimi"/>
    <w:rsid w:val="0087065F"/>
    <w:pPr>
      <w:spacing w:before="0"/>
      <w:ind w:left="2552"/>
    </w:pPr>
    <w:rPr>
      <w:b w:val="0"/>
    </w:rPr>
  </w:style>
  <w:style w:type="paragraph" w:customStyle="1" w:styleId="Pealkiridokumendi">
    <w:name w:val="Pealkiri (dokumendi)"/>
    <w:basedOn w:val="Normaallaad"/>
    <w:rsid w:val="0087065F"/>
    <w:pPr>
      <w:spacing w:before="360" w:line="240" w:lineRule="atLeast"/>
    </w:pPr>
    <w:rPr>
      <w:rFonts w:ascii="Garamond" w:hAnsi="Garamond"/>
      <w:b/>
      <w:caps/>
      <w:spacing w:val="24"/>
      <w:sz w:val="26"/>
      <w:szCs w:val="24"/>
    </w:rPr>
  </w:style>
  <w:style w:type="paragraph" w:customStyle="1" w:styleId="Pealkiridokumenditapsem">
    <w:name w:val="Pealkiri (dokumendi tapsem)"/>
    <w:basedOn w:val="Pealkiridokumendi"/>
    <w:rsid w:val="0087065F"/>
    <w:pPr>
      <w:spacing w:before="0"/>
    </w:pPr>
    <w:rPr>
      <w:caps w:val="0"/>
      <w:spacing w:val="0"/>
    </w:rPr>
  </w:style>
  <w:style w:type="paragraph" w:styleId="Loendilik">
    <w:name w:val="List Paragraph"/>
    <w:basedOn w:val="Normaallaad"/>
    <w:uiPriority w:val="34"/>
    <w:qFormat/>
    <w:rsid w:val="0087065F"/>
    <w:pPr>
      <w:spacing w:after="200" w:line="276" w:lineRule="auto"/>
      <w:ind w:left="720"/>
      <w:contextualSpacing/>
    </w:pPr>
    <w:rPr>
      <w:rFonts w:ascii="Garamond" w:eastAsiaTheme="minorHAnsi" w:hAnsi="Garamond" w:cstheme="minorBid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1A33-DFFF-4832-A4A8-CA90D51C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12871</Characters>
  <Application>Microsoft Office Word</Application>
  <DocSecurity>0</DocSecurity>
  <Lines>107</Lines>
  <Paragraphs>30</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2-</vt:lpstr>
      <vt:lpstr>2-</vt:lpstr>
    </vt:vector>
  </TitlesOfParts>
  <Company>Justiitsministeerium</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Anu Maala</dc:creator>
  <cp:lastModifiedBy>Rünno</cp:lastModifiedBy>
  <cp:revision>2</cp:revision>
  <cp:lastPrinted>2019-05-10T05:04:00Z</cp:lastPrinted>
  <dcterms:created xsi:type="dcterms:W3CDTF">2019-05-20T07:57:00Z</dcterms:created>
  <dcterms:modified xsi:type="dcterms:W3CDTF">2019-05-20T07:57:00Z</dcterms:modified>
</cp:coreProperties>
</file>