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2" w:rsidRDefault="00BA5CA6" w:rsidP="005F3A0C">
      <w:pPr>
        <w:rPr>
          <w:b/>
        </w:rPr>
      </w:pPr>
      <w:bookmarkStart w:id="0" w:name="_GoBack"/>
      <w:bookmarkEnd w:id="0"/>
      <w:r>
        <w:rPr>
          <w:b/>
        </w:rPr>
        <w:t>Eneseanalüüsi ja h</w:t>
      </w:r>
      <w:r w:rsidR="00EB58D2" w:rsidRPr="000D7087">
        <w:rPr>
          <w:b/>
        </w:rPr>
        <w:t>indamisleht Vorm H 1</w:t>
      </w:r>
    </w:p>
    <w:p w:rsidR="00DF14B2" w:rsidRDefault="00DF14B2" w:rsidP="005F3A0C">
      <w:r>
        <w:t>Maastikuarhitektuurse t</w:t>
      </w:r>
      <w:r w:rsidR="005F3A0C">
        <w:t>öökogemus</w:t>
      </w:r>
      <w:r>
        <w:t xml:space="preserve">e ja kompetentside tõendamiseks </w:t>
      </w:r>
      <w:r w:rsidR="005F3A0C">
        <w:t>sobivad kõik tegevused, mida sisaldab kutse</w:t>
      </w:r>
      <w:r w:rsidR="003620A1">
        <w:t xml:space="preserve"> </w:t>
      </w:r>
      <w:r w:rsidR="005F3A0C">
        <w:t>andmise korra punkt 2.1.2. b.</w:t>
      </w:r>
      <w:r>
        <w:t xml:space="preserve"> Taotleja </w:t>
      </w:r>
      <w:r w:rsidR="003620A1">
        <w:t xml:space="preserve"> teeb </w:t>
      </w:r>
      <w:r>
        <w:t>ise</w:t>
      </w:r>
      <w:r w:rsidR="003620A1">
        <w:t xml:space="preserve"> valiku</w:t>
      </w:r>
      <w:r>
        <w:t xml:space="preserve">, millise </w:t>
      </w:r>
      <w:r w:rsidR="003620A1">
        <w:t>tõendusmaterjaliga ta oma erialast</w:t>
      </w:r>
      <w:r>
        <w:t xml:space="preserve"> kompetents</w:t>
      </w:r>
      <w:r w:rsidR="003620A1">
        <w:t>ust</w:t>
      </w:r>
      <w:r>
        <w:t xml:space="preserve"> tõendab ning täidab vormi H1, kuhu märgib kompetentse tõendavate </w:t>
      </w:r>
      <w:r w:rsidR="003620A1">
        <w:t>dokumentide</w:t>
      </w:r>
      <w:r>
        <w:rPr>
          <w:rStyle w:val="FootnoteReference"/>
        </w:rPr>
        <w:footnoteReference w:id="1"/>
      </w:r>
      <w:r>
        <w:t xml:space="preserve"> nimetused. Tabelis nimetatud </w:t>
      </w:r>
      <w:r w:rsidR="003620A1">
        <w:t xml:space="preserve">dokumendid </w:t>
      </w:r>
      <w:r w:rsidR="001F7454">
        <w:t xml:space="preserve"> tuleb esitada lisadena.</w:t>
      </w:r>
    </w:p>
    <w:tbl>
      <w:tblPr>
        <w:tblStyle w:val="TableGrid"/>
        <w:tblW w:w="13361" w:type="dxa"/>
        <w:tblLook w:val="04A0" w:firstRow="1" w:lastRow="0" w:firstColumn="1" w:lastColumn="0" w:noHBand="0" w:noVBand="1"/>
      </w:tblPr>
      <w:tblGrid>
        <w:gridCol w:w="6232"/>
        <w:gridCol w:w="4216"/>
        <w:gridCol w:w="2913"/>
      </w:tblGrid>
      <w:tr w:rsidR="00597531" w:rsidTr="00BE3B79">
        <w:tc>
          <w:tcPr>
            <w:tcW w:w="6232" w:type="dxa"/>
          </w:tcPr>
          <w:p w:rsidR="00597531" w:rsidRDefault="00597531" w:rsidP="000F6A6E">
            <w:pPr>
              <w:jc w:val="center"/>
            </w:pPr>
            <w:r>
              <w:t>Tööosad, kompetentsid</w:t>
            </w:r>
          </w:p>
        </w:tc>
        <w:tc>
          <w:tcPr>
            <w:tcW w:w="4216" w:type="dxa"/>
          </w:tcPr>
          <w:p w:rsidR="00597531" w:rsidRDefault="00597531" w:rsidP="000F6A6E">
            <w:pPr>
              <w:jc w:val="center"/>
            </w:pPr>
            <w:r>
              <w:t>Kompetentsi tõenda</w:t>
            </w:r>
            <w:r w:rsidR="00D800DB">
              <w:t>va(te) dokumendi/dokumentide</w:t>
            </w:r>
            <w:r>
              <w:t xml:space="preserve"> nimetus</w:t>
            </w:r>
            <w:r w:rsidR="00D800DB">
              <w:t>(ed)</w:t>
            </w:r>
            <w:r w:rsidR="00305684">
              <w:t xml:space="preserve"> ja selgitus, mil moel esitatud materjal kompetentsi tõendab</w:t>
            </w:r>
            <w:r>
              <w:t xml:space="preserve"> (võib esitada lisalehel)</w:t>
            </w:r>
          </w:p>
        </w:tc>
        <w:tc>
          <w:tcPr>
            <w:tcW w:w="2913" w:type="dxa"/>
          </w:tcPr>
          <w:p w:rsidR="00597531" w:rsidRDefault="00597531" w:rsidP="000F6A6E">
            <w:pPr>
              <w:jc w:val="center"/>
            </w:pPr>
            <w:r>
              <w:t>Hindaja seisukoht – kompetents on tõendatud (jah/ei)</w:t>
            </w:r>
          </w:p>
        </w:tc>
      </w:tr>
      <w:tr w:rsidR="00597531" w:rsidTr="00BE3B79">
        <w:tc>
          <w:tcPr>
            <w:tcW w:w="6232" w:type="dxa"/>
          </w:tcPr>
          <w:p w:rsidR="00597531" w:rsidRPr="00597531" w:rsidRDefault="00597531" w:rsidP="000D7087">
            <w:pPr>
              <w:rPr>
                <w:b/>
              </w:rPr>
            </w:pPr>
            <w:r w:rsidRPr="00597531">
              <w:rPr>
                <w:b/>
              </w:rPr>
              <w:t>A.2.1 Ehitusprojekti arhitektuuri välisruumi osa terviklahenduse koostamine selle kõigis staadiumites</w:t>
            </w:r>
          </w:p>
          <w:p w:rsidR="007464D2" w:rsidRDefault="00BE3B79" w:rsidP="00BE3B79">
            <w:pPr>
              <w:pStyle w:val="ListParagraph"/>
              <w:numPr>
                <w:ilvl w:val="0"/>
                <w:numId w:val="7"/>
              </w:numPr>
            </w:pPr>
            <w:r>
              <w:t>l</w:t>
            </w:r>
            <w:r w:rsidR="00597531" w:rsidRPr="00597531">
              <w:t xml:space="preserve">ähtetingimuste analüüs ja programmi koostamine;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7"/>
              </w:numPr>
            </w:pPr>
            <w:r w:rsidRPr="00597531">
              <w:t xml:space="preserve">ruumiliste visioonide, kontseptsioonide ja eskiiside koostamine;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7"/>
              </w:numPr>
            </w:pPr>
            <w:r w:rsidRPr="00597531">
              <w:t xml:space="preserve">ehitusprojekti arhitektuuri välisruumi osa koostamine;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7"/>
              </w:numPr>
            </w:pPr>
            <w:r w:rsidRPr="00597531">
              <w:t xml:space="preserve">vormistamine ja dokumenteerimine;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7"/>
              </w:numPr>
            </w:pPr>
            <w:r w:rsidRPr="00597531">
              <w:t xml:space="preserve">koostöö huvitatud osapoolte ja asjakohaste ametkondadega;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7"/>
              </w:numPr>
            </w:pPr>
            <w:r w:rsidRPr="00597531">
              <w:t xml:space="preserve">autorijärelevalve ja osalemine välisruumi ja selle rajatiste kasutuselevõtu protsessis; </w:t>
            </w:r>
          </w:p>
          <w:p w:rsidR="00597531" w:rsidRPr="00597531" w:rsidRDefault="00597531" w:rsidP="00BE3B79">
            <w:pPr>
              <w:pStyle w:val="ListParagraph"/>
              <w:numPr>
                <w:ilvl w:val="0"/>
                <w:numId w:val="7"/>
              </w:numPr>
            </w:pPr>
            <w:r w:rsidRPr="00597531">
              <w:t>eksperthinnangute andmine ja auditite tegemine</w:t>
            </w:r>
          </w:p>
        </w:tc>
        <w:tc>
          <w:tcPr>
            <w:tcW w:w="4216" w:type="dxa"/>
          </w:tcPr>
          <w:p w:rsidR="00597531" w:rsidRDefault="00597531" w:rsidP="00CE2DC1"/>
        </w:tc>
        <w:tc>
          <w:tcPr>
            <w:tcW w:w="2913" w:type="dxa"/>
          </w:tcPr>
          <w:p w:rsidR="00597531" w:rsidRDefault="00597531" w:rsidP="00CE2DC1"/>
        </w:tc>
      </w:tr>
      <w:tr w:rsidR="00597531" w:rsidTr="00BE3B79">
        <w:tc>
          <w:tcPr>
            <w:tcW w:w="6232" w:type="dxa"/>
          </w:tcPr>
          <w:p w:rsidR="00597531" w:rsidRPr="00597531" w:rsidRDefault="00597531" w:rsidP="000D7087">
            <w:pPr>
              <w:rPr>
                <w:b/>
              </w:rPr>
            </w:pPr>
            <w:r w:rsidRPr="00597531">
              <w:rPr>
                <w:b/>
              </w:rPr>
              <w:t xml:space="preserve">A.2.2. Planeeringu koostamine erinevates planeeringu liikides </w:t>
            </w:r>
          </w:p>
          <w:p w:rsidR="007464D2" w:rsidRDefault="007464D2" w:rsidP="00BE3B79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="00597531" w:rsidRPr="00597531">
              <w:t xml:space="preserve">laneeringuala ülevaatus, ruumiline analüüs ja planeeringu lähteseisukohtade koostamine;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8"/>
              </w:numPr>
            </w:pPr>
            <w:r w:rsidRPr="00597531">
              <w:t xml:space="preserve">ruumiliste visioonide ja planeeringute eskiislahenduste koostamine;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8"/>
              </w:numPr>
            </w:pPr>
            <w:r w:rsidRPr="00597531">
              <w:t xml:space="preserve">avalikkuse, huvitatud isikute ja asjakohaste ametiasutuste arvamustega arvestamine tasakaalustatud ruumilise lahenduse kaudu;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9"/>
              </w:numPr>
            </w:pPr>
            <w:r w:rsidRPr="00597531">
              <w:t xml:space="preserve">planeeringuala ruumilise terviklahenduse koostamine;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9"/>
              </w:numPr>
            </w:pPr>
            <w:r w:rsidRPr="00597531">
              <w:lastRenderedPageBreak/>
              <w:t xml:space="preserve">planeeringu ruumilise terviklahenduse tutvustamine ja põhjendamine koostöö ning avalikustamise kaudu; </w:t>
            </w:r>
          </w:p>
          <w:p w:rsidR="00597531" w:rsidRPr="00597531" w:rsidRDefault="00597531" w:rsidP="00BE3B79">
            <w:pPr>
              <w:pStyle w:val="ListParagraph"/>
              <w:numPr>
                <w:ilvl w:val="0"/>
                <w:numId w:val="9"/>
              </w:numPr>
            </w:pPr>
            <w:r w:rsidRPr="00597531">
              <w:t>planeeringu vormistamine</w:t>
            </w:r>
            <w:r w:rsidR="00BE3B79">
              <w:t>.</w:t>
            </w:r>
          </w:p>
        </w:tc>
        <w:tc>
          <w:tcPr>
            <w:tcW w:w="4216" w:type="dxa"/>
          </w:tcPr>
          <w:p w:rsidR="00597531" w:rsidRDefault="00597531" w:rsidP="00CE2DC1"/>
        </w:tc>
        <w:tc>
          <w:tcPr>
            <w:tcW w:w="2913" w:type="dxa"/>
          </w:tcPr>
          <w:p w:rsidR="00597531" w:rsidRDefault="00597531" w:rsidP="00CE2DC1"/>
        </w:tc>
      </w:tr>
      <w:tr w:rsidR="00597531" w:rsidTr="00BE3B79">
        <w:trPr>
          <w:trHeight w:val="156"/>
        </w:trPr>
        <w:tc>
          <w:tcPr>
            <w:tcW w:w="6232" w:type="dxa"/>
          </w:tcPr>
          <w:p w:rsidR="00597531" w:rsidRPr="00597531" w:rsidRDefault="00597531" w:rsidP="004D3D8A">
            <w:pPr>
              <w:rPr>
                <w:b/>
              </w:rPr>
            </w:pPr>
            <w:r w:rsidRPr="00597531">
              <w:rPr>
                <w:b/>
              </w:rPr>
              <w:lastRenderedPageBreak/>
              <w:t>A.2.3 Maastiku uurimine, inventeerimine, hindamine ja maastiku hooldamise kavandamine</w:t>
            </w:r>
          </w:p>
          <w:p w:rsidR="007464D2" w:rsidRDefault="00BE3B79" w:rsidP="00BE3B79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597531" w:rsidRPr="00597531">
              <w:t>ööprotsessi kavandamine;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10"/>
              </w:numPr>
            </w:pPr>
            <w:r w:rsidRPr="00597531">
              <w:t xml:space="preserve">lähteandmete kogumine, sh välitööd;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10"/>
              </w:numPr>
            </w:pPr>
            <w:r w:rsidRPr="00597531">
              <w:t xml:space="preserve">andmete analüüs; </w:t>
            </w:r>
          </w:p>
          <w:p w:rsidR="007464D2" w:rsidRDefault="00597531" w:rsidP="00BE3B79">
            <w:pPr>
              <w:pStyle w:val="ListParagraph"/>
              <w:numPr>
                <w:ilvl w:val="0"/>
                <w:numId w:val="10"/>
              </w:numPr>
            </w:pPr>
            <w:r w:rsidRPr="00597531">
              <w:t xml:space="preserve">järelduste tegemine; </w:t>
            </w:r>
          </w:p>
          <w:p w:rsidR="00597531" w:rsidRPr="00597531" w:rsidRDefault="00597531" w:rsidP="00BE3B79">
            <w:pPr>
              <w:pStyle w:val="ListParagraph"/>
              <w:numPr>
                <w:ilvl w:val="0"/>
                <w:numId w:val="10"/>
              </w:numPr>
            </w:pPr>
            <w:r w:rsidRPr="00597531">
              <w:t>lõppdokumendi koostamine ja vormistamine</w:t>
            </w:r>
            <w:r w:rsidR="00BE3B79">
              <w:t>.</w:t>
            </w:r>
          </w:p>
        </w:tc>
        <w:tc>
          <w:tcPr>
            <w:tcW w:w="4216" w:type="dxa"/>
          </w:tcPr>
          <w:p w:rsidR="00597531" w:rsidRDefault="00597531" w:rsidP="004D3D8A"/>
        </w:tc>
        <w:tc>
          <w:tcPr>
            <w:tcW w:w="2913" w:type="dxa"/>
          </w:tcPr>
          <w:p w:rsidR="00597531" w:rsidRDefault="00597531" w:rsidP="004D3D8A"/>
        </w:tc>
      </w:tr>
    </w:tbl>
    <w:p w:rsidR="006D39E8" w:rsidRDefault="006D39E8" w:rsidP="001F7454"/>
    <w:sectPr w:rsidR="006D39E8" w:rsidSect="000F6A6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10" w:rsidRDefault="00374E10" w:rsidP="000F6A6E">
      <w:pPr>
        <w:spacing w:after="0" w:line="240" w:lineRule="auto"/>
      </w:pPr>
      <w:r>
        <w:separator/>
      </w:r>
    </w:p>
  </w:endnote>
  <w:endnote w:type="continuationSeparator" w:id="0">
    <w:p w:rsidR="00374E10" w:rsidRDefault="00374E10" w:rsidP="000F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BA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10" w:rsidRDefault="00374E10" w:rsidP="000F6A6E">
      <w:pPr>
        <w:spacing w:after="0" w:line="240" w:lineRule="auto"/>
      </w:pPr>
      <w:r>
        <w:separator/>
      </w:r>
    </w:p>
  </w:footnote>
  <w:footnote w:type="continuationSeparator" w:id="0">
    <w:p w:rsidR="00374E10" w:rsidRDefault="00374E10" w:rsidP="000F6A6E">
      <w:pPr>
        <w:spacing w:after="0" w:line="240" w:lineRule="auto"/>
      </w:pPr>
      <w:r>
        <w:continuationSeparator/>
      </w:r>
    </w:p>
  </w:footnote>
  <w:footnote w:id="1">
    <w:p w:rsidR="00DF14B2" w:rsidRDefault="00DF14B2" w:rsidP="00DF14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A6E">
        <w:t>K</w:t>
      </w:r>
      <w:r w:rsidR="003620A1">
        <w:t>utsealast k</w:t>
      </w:r>
      <w:r w:rsidRPr="000F6A6E">
        <w:t>ompetents</w:t>
      </w:r>
      <w:r w:rsidR="003620A1">
        <w:t>ust</w:t>
      </w:r>
      <w:r w:rsidRPr="000F6A6E">
        <w:t xml:space="preserve"> tõendatakse dokumentidega, mis näitavad </w:t>
      </w:r>
      <w:r w:rsidR="003620A1">
        <w:t xml:space="preserve">taotleja </w:t>
      </w:r>
      <w:r w:rsidRPr="000F6A6E">
        <w:t>erialast tegevust maastikuarhitekt</w:t>
      </w:r>
      <w:r w:rsidR="003620A1">
        <w:t>uuri</w:t>
      </w:r>
      <w:r w:rsidRPr="000F6A6E">
        <w:t xml:space="preserve"> tegevusvaldkonnas. </w:t>
      </w:r>
      <w:r w:rsidR="007464D2">
        <w:t xml:space="preserve">Nendeks dokumentideks võivad olla </w:t>
      </w:r>
      <w:r w:rsidRPr="000F6A6E">
        <w:t xml:space="preserve"> erialase</w:t>
      </w:r>
      <w:r w:rsidR="007464D2">
        <w:t>d</w:t>
      </w:r>
      <w:r w:rsidRPr="000F6A6E">
        <w:t xml:space="preserve"> tööd (projektid, planeeringud), ülikoolidiplom</w:t>
      </w:r>
      <w:r w:rsidR="007361BB">
        <w:t>id</w:t>
      </w:r>
      <w:r w:rsidRPr="000F6A6E">
        <w:t xml:space="preserve"> (koos hinnetelehtedega), täiendkoolituste tunnistus</w:t>
      </w:r>
      <w:r w:rsidR="007464D2">
        <w:t>ed</w:t>
      </w:r>
      <w:r w:rsidRPr="000F6A6E">
        <w:t>, tegevus</w:t>
      </w:r>
      <w:r w:rsidR="007464D2">
        <w:t>load</w:t>
      </w:r>
      <w:r w:rsidRPr="000F6A6E">
        <w:t xml:space="preserve">, litsentsid, </w:t>
      </w:r>
      <w:r w:rsidR="007464D2">
        <w:t xml:space="preserve">erialased </w:t>
      </w:r>
      <w:r w:rsidRPr="000F6A6E">
        <w:t>tunnustuste</w:t>
      </w:r>
      <w:r w:rsidR="007464D2">
        <w:t>d,</w:t>
      </w:r>
      <w:r w:rsidRPr="000F6A6E">
        <w:t xml:space="preserve"> preemia</w:t>
      </w:r>
      <w:r w:rsidR="007464D2">
        <w:t xml:space="preserve">d või </w:t>
      </w:r>
      <w:r w:rsidRPr="000F6A6E">
        <w:t xml:space="preserve"> auhin</w:t>
      </w:r>
      <w:r w:rsidR="007464D2">
        <w:t>nad</w:t>
      </w:r>
      <w:r w:rsidRPr="000F6A6E">
        <w:t xml:space="preserve"> (nt erialased ideevõistlused), publikatsioonid (ilmunud), ettekan</w:t>
      </w:r>
      <w:r w:rsidR="007464D2">
        <w:t>ded</w:t>
      </w:r>
      <w:r w:rsidRPr="000F6A6E">
        <w:t xml:space="preserve"> (nt. konver</w:t>
      </w:r>
      <w:r w:rsidR="007F6F74">
        <w:t>en</w:t>
      </w:r>
      <w:r w:rsidRPr="000F6A6E">
        <w:t>tsid</w:t>
      </w:r>
      <w:r w:rsidR="007464D2">
        <w:t>el</w:t>
      </w:r>
      <w:r w:rsidRPr="000F6A6E">
        <w:t>), trükise</w:t>
      </w:r>
      <w:r w:rsidR="007464D2">
        <w:t>d</w:t>
      </w:r>
      <w:r w:rsidRPr="000F6A6E">
        <w:t xml:space="preserve"> (ilmunud), teadustöö</w:t>
      </w:r>
      <w:r w:rsidR="007464D2">
        <w:t>d</w:t>
      </w:r>
      <w:r w:rsidRPr="000F6A6E">
        <w:t>, näitus</w:t>
      </w:r>
      <w:r w:rsidR="007464D2">
        <w:t>t</w:t>
      </w:r>
      <w:r w:rsidRPr="000F6A6E">
        <w:t>e</w:t>
      </w:r>
      <w:r w:rsidR="007464D2">
        <w:t>l</w:t>
      </w:r>
      <w:r w:rsidR="007361BB">
        <w:t xml:space="preserve"> </w:t>
      </w:r>
      <w:r w:rsidRPr="000F6A6E">
        <w:t xml:space="preserve">osalemine, </w:t>
      </w:r>
      <w:r>
        <w:t xml:space="preserve">organisatsiooni </w:t>
      </w:r>
      <w:r w:rsidRPr="000F6A6E">
        <w:t>kinnituskir</w:t>
      </w:r>
      <w:r w:rsidR="007361BB">
        <w:t>i</w:t>
      </w:r>
      <w:r w:rsidRPr="000F6A6E">
        <w:t xml:space="preserve"> (erialane aktiivne tegevus) jms.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143"/>
    <w:multiLevelType w:val="hybridMultilevel"/>
    <w:tmpl w:val="9E8266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7CED"/>
    <w:multiLevelType w:val="hybridMultilevel"/>
    <w:tmpl w:val="CB46BB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537D2"/>
    <w:multiLevelType w:val="hybridMultilevel"/>
    <w:tmpl w:val="64C0A47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E1F42"/>
    <w:multiLevelType w:val="hybridMultilevel"/>
    <w:tmpl w:val="B798C15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614C6"/>
    <w:multiLevelType w:val="hybridMultilevel"/>
    <w:tmpl w:val="A0F8E51C"/>
    <w:lvl w:ilvl="0" w:tplc="7E0064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6F2F"/>
    <w:multiLevelType w:val="hybridMultilevel"/>
    <w:tmpl w:val="67C6A5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17574"/>
    <w:multiLevelType w:val="hybridMultilevel"/>
    <w:tmpl w:val="684826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703668"/>
    <w:multiLevelType w:val="hybridMultilevel"/>
    <w:tmpl w:val="BEEAC7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B2C67"/>
    <w:multiLevelType w:val="hybridMultilevel"/>
    <w:tmpl w:val="4EC430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E4057"/>
    <w:multiLevelType w:val="hybridMultilevel"/>
    <w:tmpl w:val="34A276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C"/>
    <w:rsid w:val="000D7087"/>
    <w:rsid w:val="000F6A6E"/>
    <w:rsid w:val="001F7454"/>
    <w:rsid w:val="00201461"/>
    <w:rsid w:val="00294AD3"/>
    <w:rsid w:val="00303FC2"/>
    <w:rsid w:val="00305684"/>
    <w:rsid w:val="003620A1"/>
    <w:rsid w:val="00371350"/>
    <w:rsid w:val="00373469"/>
    <w:rsid w:val="00374E10"/>
    <w:rsid w:val="003E5851"/>
    <w:rsid w:val="0049535D"/>
    <w:rsid w:val="004D2A5F"/>
    <w:rsid w:val="004D3D8A"/>
    <w:rsid w:val="00597531"/>
    <w:rsid w:val="005F3A0C"/>
    <w:rsid w:val="006D39E8"/>
    <w:rsid w:val="006D7973"/>
    <w:rsid w:val="007361BB"/>
    <w:rsid w:val="007464D2"/>
    <w:rsid w:val="007F6F74"/>
    <w:rsid w:val="00A9249C"/>
    <w:rsid w:val="00BA5CA6"/>
    <w:rsid w:val="00BE3B79"/>
    <w:rsid w:val="00C0542C"/>
    <w:rsid w:val="00CE2DC1"/>
    <w:rsid w:val="00D800DB"/>
    <w:rsid w:val="00DF14B2"/>
    <w:rsid w:val="00E13A9A"/>
    <w:rsid w:val="00EB58D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6E"/>
    <w:rPr>
      <w:noProof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0F6A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6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D2"/>
    <w:rPr>
      <w:rFonts w:ascii="Segoe UI" w:hAnsi="Segoe UI" w:cs="Segoe UI"/>
      <w:noProof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6E"/>
    <w:rPr>
      <w:noProof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0F6A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6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D2"/>
    <w:rPr>
      <w:rFonts w:ascii="Segoe UI" w:hAnsi="Segoe UI" w:cs="Segoe UI"/>
      <w:noProof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4C5-A051-F64A-8C09-122922F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Reet Soans</cp:lastModifiedBy>
  <cp:revision>2</cp:revision>
  <dcterms:created xsi:type="dcterms:W3CDTF">2018-06-28T06:16:00Z</dcterms:created>
  <dcterms:modified xsi:type="dcterms:W3CDTF">2018-06-28T06:16:00Z</dcterms:modified>
</cp:coreProperties>
</file>